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D862"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16625EB3" wp14:editId="56D7BF29">
            <wp:simplePos x="0" y="0"/>
            <wp:positionH relativeFrom="page">
              <wp:posOffset>635</wp:posOffset>
            </wp:positionH>
            <wp:positionV relativeFrom="page">
              <wp:posOffset>0</wp:posOffset>
            </wp:positionV>
            <wp:extent cx="7567930" cy="1458595"/>
            <wp:effectExtent l="0" t="0" r="0" b="8255"/>
            <wp:wrapNone/>
            <wp:docPr id="30" name="Picture 30" descr="Electr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7930" cy="1458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F0FC0" w14:textId="77777777" w:rsidR="00A62D44" w:rsidRPr="004C6EEE" w:rsidRDefault="00A62D44" w:rsidP="004C6EEE">
      <w:pPr>
        <w:pStyle w:val="Sectionbreakfirstpage"/>
        <w:sectPr w:rsidR="00A62D44" w:rsidRPr="004C6EEE" w:rsidSect="00D126F2">
          <w:footerReference w:type="default" r:id="rId9"/>
          <w:pgSz w:w="11906" w:h="16838" w:code="9"/>
          <w:pgMar w:top="340" w:right="1134" w:bottom="1531" w:left="1134" w:header="17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613"/>
      </w:tblGrid>
      <w:tr w:rsidR="00AD784C" w14:paraId="28CB618A" w14:textId="77777777" w:rsidTr="00D34D13">
        <w:trPr>
          <w:trHeight w:val="1795"/>
        </w:trPr>
        <w:tc>
          <w:tcPr>
            <w:tcW w:w="8505" w:type="dxa"/>
            <w:shd w:val="clear" w:color="auto" w:fill="auto"/>
            <w:vAlign w:val="center"/>
          </w:tcPr>
          <w:p w14:paraId="5AFC2505" w14:textId="77777777" w:rsidR="00AD784C" w:rsidRDefault="008D0B99" w:rsidP="00EC413A">
            <w:pPr>
              <w:pStyle w:val="Heading1"/>
            </w:pPr>
            <w:r>
              <w:t>REFCL Program</w:t>
            </w:r>
          </w:p>
          <w:p w14:paraId="16251CB7" w14:textId="060C16F8" w:rsidR="00C106A5" w:rsidRPr="00C106A5" w:rsidRDefault="008D0B99" w:rsidP="00637C1A">
            <w:pPr>
              <w:pStyle w:val="ESVMainsubheading"/>
            </w:pPr>
            <w:r>
              <w:t xml:space="preserve">Status </w:t>
            </w:r>
            <w:proofErr w:type="gramStart"/>
            <w:r>
              <w:t>at</w:t>
            </w:r>
            <w:proofErr w:type="gramEnd"/>
            <w:r>
              <w:t xml:space="preserve"> 1</w:t>
            </w:r>
            <w:r w:rsidR="00564D0D">
              <w:t xml:space="preserve"> </w:t>
            </w:r>
            <w:r w:rsidR="000231D2">
              <w:t xml:space="preserve">November </w:t>
            </w:r>
            <w:r>
              <w:t>202</w:t>
            </w:r>
            <w:r w:rsidR="00637C1A">
              <w:t>3</w:t>
            </w:r>
          </w:p>
        </w:tc>
      </w:tr>
      <w:tr w:rsidR="00AD784C" w14:paraId="788931BF" w14:textId="77777777" w:rsidTr="003F4217">
        <w:trPr>
          <w:trHeight w:hRule="exact" w:val="560"/>
        </w:trPr>
        <w:tc>
          <w:tcPr>
            <w:tcW w:w="8613" w:type="dxa"/>
            <w:shd w:val="clear" w:color="auto" w:fill="auto"/>
            <w:tcMar>
              <w:top w:w="0" w:type="dxa"/>
              <w:bottom w:w="0" w:type="dxa"/>
            </w:tcMar>
          </w:tcPr>
          <w:p w14:paraId="1D69A26F" w14:textId="77777777" w:rsidR="00357B4E" w:rsidRPr="00AD784C" w:rsidRDefault="00357B4E" w:rsidP="0093610B">
            <w:pPr>
              <w:pStyle w:val="ESVMainsubheading"/>
            </w:pPr>
          </w:p>
        </w:tc>
      </w:tr>
    </w:tbl>
    <w:p w14:paraId="424659C8" w14:textId="77777777" w:rsidR="00E61A06" w:rsidRDefault="00E61A06" w:rsidP="00E61A06">
      <w:pPr>
        <w:pStyle w:val="Heading2"/>
      </w:pPr>
      <w:r>
        <w:t>Overview</w:t>
      </w:r>
    </w:p>
    <w:p w14:paraId="7FFBD8CB" w14:textId="77777777" w:rsidR="004F6307" w:rsidRDefault="003E40F9" w:rsidP="003E40F9">
      <w:pPr>
        <w:pStyle w:val="ESVBody"/>
      </w:pPr>
      <w:r>
        <w:t xml:space="preserve">This document provides a snapshot of the Rapid Earth Fault Current Limiter (REFCL) program </w:t>
      </w:r>
      <w:r w:rsidR="006310EB">
        <w:t xml:space="preserve">delivery </w:t>
      </w:r>
      <w:r>
        <w:t xml:space="preserve">status </w:t>
      </w:r>
      <w:proofErr w:type="gramStart"/>
      <w:r>
        <w:t>at</w:t>
      </w:r>
      <w:proofErr w:type="gramEnd"/>
      <w:r>
        <w:t xml:space="preserve"> </w:t>
      </w:r>
      <w:r w:rsidR="002B0BEE">
        <w:t>1 </w:t>
      </w:r>
      <w:r w:rsidR="006310EB">
        <w:t xml:space="preserve">November </w:t>
      </w:r>
      <w:r w:rsidR="002B0BEE">
        <w:t>20</w:t>
      </w:r>
      <w:r w:rsidR="008248E8">
        <w:t>23</w:t>
      </w:r>
      <w:r w:rsidR="005E1E2B">
        <w:t>.</w:t>
      </w:r>
      <w:r w:rsidR="00E61A06">
        <w:t xml:space="preserve"> </w:t>
      </w:r>
    </w:p>
    <w:p w14:paraId="1FEF2EFE" w14:textId="530B9FBC" w:rsidR="003E40F9" w:rsidRDefault="007623CF" w:rsidP="003E40F9">
      <w:pPr>
        <w:pStyle w:val="ESVBody"/>
      </w:pPr>
      <w:r>
        <w:t xml:space="preserve">The mandated REFCL rollout is now complete. </w:t>
      </w:r>
      <w:r w:rsidR="00E61A06">
        <w:t xml:space="preserve">This document provides a summary of the program delivery and exemptions and time extensions granted </w:t>
      </w:r>
      <w:r w:rsidR="006310EB">
        <w:t>throughout the delivery program</w:t>
      </w:r>
      <w:r w:rsidR="00E61A06">
        <w:t>.</w:t>
      </w:r>
      <w:r w:rsidR="006310EB">
        <w:t xml:space="preserve"> </w:t>
      </w:r>
    </w:p>
    <w:p w14:paraId="35EA77E0" w14:textId="77777777" w:rsidR="00E61A06" w:rsidRDefault="00E61A06" w:rsidP="003E40F9">
      <w:pPr>
        <w:pStyle w:val="ESVBody"/>
      </w:pPr>
    </w:p>
    <w:p w14:paraId="7F05AFA7" w14:textId="77777777" w:rsidR="008F3407" w:rsidRDefault="008D0B99" w:rsidP="008D0B99">
      <w:pPr>
        <w:pStyle w:val="Heading2"/>
      </w:pPr>
      <w:r>
        <w:t>Program Delivery</w:t>
      </w:r>
    </w:p>
    <w:p w14:paraId="18308D5C" w14:textId="77777777" w:rsidR="00062413" w:rsidRPr="00326924" w:rsidRDefault="00062413" w:rsidP="00062413">
      <w:pPr>
        <w:pStyle w:val="Heading3"/>
      </w:pPr>
      <w:r w:rsidRPr="00326924">
        <w:t>Jemena</w:t>
      </w:r>
    </w:p>
    <w:tbl>
      <w:tblPr>
        <w:tblW w:w="5000" w:type="pct"/>
        <w:tblLayout w:type="fixed"/>
        <w:tblCellMar>
          <w:left w:w="57" w:type="dxa"/>
          <w:right w:w="57" w:type="dxa"/>
        </w:tblCellMar>
        <w:tblLook w:val="04A0" w:firstRow="1" w:lastRow="0" w:firstColumn="1" w:lastColumn="0" w:noHBand="0" w:noVBand="1"/>
      </w:tblPr>
      <w:tblGrid>
        <w:gridCol w:w="2293"/>
        <w:gridCol w:w="968"/>
        <w:gridCol w:w="993"/>
        <w:gridCol w:w="850"/>
        <w:gridCol w:w="2128"/>
        <w:gridCol w:w="2406"/>
      </w:tblGrid>
      <w:tr w:rsidR="00362285" w:rsidRPr="00AD259D" w14:paraId="07FB1FD2" w14:textId="77777777" w:rsidTr="00660470">
        <w:trPr>
          <w:trHeight w:val="315"/>
        </w:trPr>
        <w:tc>
          <w:tcPr>
            <w:tcW w:w="1190" w:type="pct"/>
            <w:tcBorders>
              <w:top w:val="single" w:sz="8" w:space="0" w:color="auto"/>
              <w:left w:val="nil"/>
              <w:bottom w:val="single" w:sz="8" w:space="0" w:color="auto"/>
              <w:right w:val="nil"/>
            </w:tcBorders>
            <w:shd w:val="clear" w:color="auto" w:fill="auto"/>
            <w:noWrap/>
            <w:vAlign w:val="bottom"/>
            <w:hideMark/>
          </w:tcPr>
          <w:p w14:paraId="19ABC749" w14:textId="77777777" w:rsidR="00062413" w:rsidRPr="00AD259D" w:rsidRDefault="00062413" w:rsidP="005313B2">
            <w:pPr>
              <w:pStyle w:val="ESVTablebody"/>
              <w:rPr>
                <w:b/>
                <w:lang w:eastAsia="en-AU"/>
              </w:rPr>
            </w:pPr>
            <w:r w:rsidRPr="00AD259D">
              <w:rPr>
                <w:b/>
                <w:lang w:eastAsia="en-AU"/>
              </w:rPr>
              <w:t>REFCL Location</w:t>
            </w:r>
          </w:p>
        </w:tc>
        <w:tc>
          <w:tcPr>
            <w:tcW w:w="502" w:type="pct"/>
            <w:tcBorders>
              <w:top w:val="single" w:sz="8" w:space="0" w:color="auto"/>
              <w:left w:val="nil"/>
              <w:bottom w:val="single" w:sz="8" w:space="0" w:color="auto"/>
              <w:right w:val="nil"/>
            </w:tcBorders>
            <w:shd w:val="clear" w:color="auto" w:fill="auto"/>
            <w:noWrap/>
            <w:vAlign w:val="bottom"/>
            <w:hideMark/>
          </w:tcPr>
          <w:p w14:paraId="6E08EC38" w14:textId="77777777" w:rsidR="00062413" w:rsidRPr="00AD259D" w:rsidRDefault="00062413" w:rsidP="005313B2">
            <w:pPr>
              <w:pStyle w:val="ESVTablebody"/>
              <w:rPr>
                <w:b/>
                <w:lang w:eastAsia="en-AU"/>
              </w:rPr>
            </w:pPr>
            <w:r w:rsidRPr="00AD259D">
              <w:rPr>
                <w:b/>
                <w:lang w:eastAsia="en-AU"/>
              </w:rPr>
              <w:t>Code</w:t>
            </w:r>
          </w:p>
        </w:tc>
        <w:tc>
          <w:tcPr>
            <w:tcW w:w="515" w:type="pct"/>
            <w:tcBorders>
              <w:top w:val="single" w:sz="8" w:space="0" w:color="auto"/>
              <w:left w:val="nil"/>
              <w:bottom w:val="single" w:sz="8" w:space="0" w:color="auto"/>
              <w:right w:val="nil"/>
            </w:tcBorders>
            <w:shd w:val="clear" w:color="auto" w:fill="auto"/>
            <w:noWrap/>
            <w:vAlign w:val="bottom"/>
            <w:hideMark/>
          </w:tcPr>
          <w:p w14:paraId="675B2317" w14:textId="77777777" w:rsidR="00062413" w:rsidRPr="00AD259D" w:rsidRDefault="00062413" w:rsidP="005313B2">
            <w:pPr>
              <w:pStyle w:val="ESVTablebody"/>
              <w:rPr>
                <w:b/>
                <w:lang w:eastAsia="en-AU"/>
              </w:rPr>
            </w:pPr>
            <w:r w:rsidRPr="00AD259D">
              <w:rPr>
                <w:b/>
                <w:lang w:eastAsia="en-AU"/>
              </w:rPr>
              <w:t>Tranche</w:t>
            </w:r>
          </w:p>
        </w:tc>
        <w:tc>
          <w:tcPr>
            <w:tcW w:w="441" w:type="pct"/>
            <w:tcBorders>
              <w:top w:val="single" w:sz="8" w:space="0" w:color="auto"/>
              <w:left w:val="nil"/>
              <w:bottom w:val="single" w:sz="8" w:space="0" w:color="auto"/>
              <w:right w:val="nil"/>
            </w:tcBorders>
            <w:shd w:val="clear" w:color="auto" w:fill="auto"/>
            <w:noWrap/>
            <w:vAlign w:val="bottom"/>
            <w:hideMark/>
          </w:tcPr>
          <w:p w14:paraId="2E5E2836" w14:textId="1731EB03" w:rsidR="00062413" w:rsidRPr="00AD259D" w:rsidRDefault="00477883" w:rsidP="005313B2">
            <w:pPr>
              <w:pStyle w:val="ESVTablebody"/>
              <w:rPr>
                <w:b/>
                <w:lang w:eastAsia="en-AU"/>
              </w:rPr>
            </w:pPr>
            <w:r>
              <w:rPr>
                <w:b/>
                <w:lang w:eastAsia="en-AU"/>
              </w:rPr>
              <w:t>Points</w:t>
            </w:r>
          </w:p>
        </w:tc>
        <w:tc>
          <w:tcPr>
            <w:tcW w:w="1104" w:type="pct"/>
            <w:tcBorders>
              <w:top w:val="single" w:sz="8" w:space="0" w:color="auto"/>
              <w:left w:val="nil"/>
              <w:bottom w:val="single" w:sz="8" w:space="0" w:color="auto"/>
              <w:right w:val="nil"/>
            </w:tcBorders>
            <w:shd w:val="clear" w:color="auto" w:fill="auto"/>
            <w:noWrap/>
            <w:vAlign w:val="bottom"/>
            <w:hideMark/>
          </w:tcPr>
          <w:p w14:paraId="6D3966F2" w14:textId="77777777" w:rsidR="00062413" w:rsidRPr="00AD259D" w:rsidRDefault="00062413" w:rsidP="005313B2">
            <w:pPr>
              <w:pStyle w:val="ESVTablebody"/>
              <w:rPr>
                <w:b/>
                <w:lang w:eastAsia="en-AU"/>
              </w:rPr>
            </w:pPr>
            <w:r w:rsidRPr="00AD259D">
              <w:rPr>
                <w:b/>
                <w:lang w:eastAsia="en-AU"/>
              </w:rPr>
              <w:t>Available for Service</w:t>
            </w:r>
          </w:p>
        </w:tc>
        <w:tc>
          <w:tcPr>
            <w:tcW w:w="1248" w:type="pct"/>
            <w:tcBorders>
              <w:top w:val="single" w:sz="8" w:space="0" w:color="auto"/>
              <w:left w:val="nil"/>
              <w:bottom w:val="single" w:sz="8" w:space="0" w:color="auto"/>
              <w:right w:val="nil"/>
            </w:tcBorders>
            <w:shd w:val="clear" w:color="auto" w:fill="auto"/>
            <w:noWrap/>
            <w:vAlign w:val="bottom"/>
            <w:hideMark/>
          </w:tcPr>
          <w:p w14:paraId="4E2F4F1E" w14:textId="71119C1E" w:rsidR="00062413" w:rsidRPr="00AD259D" w:rsidRDefault="00362285" w:rsidP="005313B2">
            <w:pPr>
              <w:pStyle w:val="ESVTablebody"/>
              <w:rPr>
                <w:b/>
                <w:lang w:eastAsia="en-AU"/>
              </w:rPr>
            </w:pPr>
            <w:r>
              <w:rPr>
                <w:b/>
                <w:lang w:eastAsia="en-AU"/>
              </w:rPr>
              <w:t xml:space="preserve">Accepted as </w:t>
            </w:r>
            <w:r w:rsidR="00B33EC3">
              <w:rPr>
                <w:b/>
                <w:lang w:eastAsia="en-AU"/>
              </w:rPr>
              <w:t>Compliant</w:t>
            </w:r>
          </w:p>
        </w:tc>
      </w:tr>
      <w:tr w:rsidR="00CC52DA" w:rsidRPr="005C68CB" w14:paraId="32107E4D" w14:textId="77777777" w:rsidTr="00BE3F2D">
        <w:trPr>
          <w:trHeight w:val="300"/>
        </w:trPr>
        <w:tc>
          <w:tcPr>
            <w:tcW w:w="1190" w:type="pct"/>
            <w:tcBorders>
              <w:top w:val="nil"/>
              <w:left w:val="nil"/>
              <w:bottom w:val="nil"/>
              <w:right w:val="nil"/>
            </w:tcBorders>
            <w:shd w:val="clear" w:color="auto" w:fill="auto"/>
            <w:noWrap/>
            <w:vAlign w:val="bottom"/>
            <w:hideMark/>
          </w:tcPr>
          <w:p w14:paraId="480080AC" w14:textId="77777777" w:rsidR="00CC52DA" w:rsidRPr="005C68CB" w:rsidRDefault="00CC52DA" w:rsidP="00CC52DA">
            <w:pPr>
              <w:pStyle w:val="ESVTablebody"/>
            </w:pPr>
            <w:r w:rsidRPr="005C68CB">
              <w:t>Coolaroo</w:t>
            </w:r>
          </w:p>
        </w:tc>
        <w:tc>
          <w:tcPr>
            <w:tcW w:w="502" w:type="pct"/>
            <w:tcBorders>
              <w:top w:val="nil"/>
              <w:left w:val="nil"/>
              <w:bottom w:val="nil"/>
              <w:right w:val="nil"/>
            </w:tcBorders>
            <w:shd w:val="clear" w:color="auto" w:fill="auto"/>
            <w:noWrap/>
            <w:vAlign w:val="bottom"/>
            <w:hideMark/>
          </w:tcPr>
          <w:p w14:paraId="565527F7" w14:textId="77777777" w:rsidR="00CC52DA" w:rsidRPr="005C68CB" w:rsidRDefault="00CC52DA" w:rsidP="00CC52DA">
            <w:pPr>
              <w:pStyle w:val="ESVTablebody"/>
            </w:pPr>
            <w:r w:rsidRPr="005C68CB">
              <w:t>COO</w:t>
            </w:r>
          </w:p>
        </w:tc>
        <w:tc>
          <w:tcPr>
            <w:tcW w:w="515" w:type="pct"/>
            <w:tcBorders>
              <w:top w:val="nil"/>
              <w:left w:val="nil"/>
              <w:bottom w:val="nil"/>
              <w:right w:val="nil"/>
            </w:tcBorders>
            <w:shd w:val="clear" w:color="auto" w:fill="auto"/>
            <w:noWrap/>
            <w:vAlign w:val="bottom"/>
            <w:hideMark/>
          </w:tcPr>
          <w:p w14:paraId="1BEB14A3" w14:textId="77777777" w:rsidR="00CC52DA" w:rsidRPr="005C68CB" w:rsidRDefault="00CC52DA" w:rsidP="00CC52DA">
            <w:pPr>
              <w:pStyle w:val="ESVTablebody"/>
            </w:pPr>
            <w:r w:rsidRPr="005C68CB">
              <w:t>3</w:t>
            </w:r>
          </w:p>
        </w:tc>
        <w:tc>
          <w:tcPr>
            <w:tcW w:w="441" w:type="pct"/>
            <w:tcBorders>
              <w:top w:val="nil"/>
              <w:left w:val="nil"/>
              <w:bottom w:val="nil"/>
              <w:right w:val="nil"/>
            </w:tcBorders>
            <w:shd w:val="clear" w:color="auto" w:fill="auto"/>
            <w:noWrap/>
            <w:vAlign w:val="bottom"/>
            <w:hideMark/>
          </w:tcPr>
          <w:p w14:paraId="248365E4" w14:textId="77777777" w:rsidR="00CC52DA" w:rsidRPr="005C68CB" w:rsidRDefault="00CC52DA" w:rsidP="00CC52DA">
            <w:pPr>
              <w:pStyle w:val="ESVTablebody"/>
            </w:pPr>
            <w:r w:rsidRPr="005C68CB">
              <w:t>1</w:t>
            </w:r>
          </w:p>
        </w:tc>
        <w:tc>
          <w:tcPr>
            <w:tcW w:w="1104" w:type="pct"/>
            <w:tcBorders>
              <w:top w:val="nil"/>
              <w:left w:val="nil"/>
              <w:bottom w:val="nil"/>
              <w:right w:val="nil"/>
            </w:tcBorders>
            <w:shd w:val="clear" w:color="auto" w:fill="C6EFCE"/>
            <w:noWrap/>
            <w:vAlign w:val="bottom"/>
            <w:hideMark/>
          </w:tcPr>
          <w:p w14:paraId="5FE8A9E7" w14:textId="6A68770C" w:rsidR="00CC52DA" w:rsidRPr="00BE3F2D" w:rsidRDefault="00CC52DA" w:rsidP="00CC52DA">
            <w:pPr>
              <w:pStyle w:val="ESVTablebody"/>
              <w:rPr>
                <w:color w:val="006100"/>
                <w:lang w:eastAsia="en-AU"/>
              </w:rPr>
            </w:pPr>
            <w:r w:rsidRPr="008D0B99">
              <w:rPr>
                <w:color w:val="006100"/>
                <w:lang w:eastAsia="en-AU"/>
              </w:rPr>
              <w:t>Yes</w:t>
            </w:r>
          </w:p>
        </w:tc>
        <w:tc>
          <w:tcPr>
            <w:tcW w:w="1248" w:type="pct"/>
            <w:tcBorders>
              <w:top w:val="nil"/>
              <w:left w:val="nil"/>
              <w:bottom w:val="nil"/>
              <w:right w:val="nil"/>
            </w:tcBorders>
            <w:shd w:val="clear" w:color="auto" w:fill="C6EFCE"/>
            <w:noWrap/>
            <w:vAlign w:val="bottom"/>
            <w:hideMark/>
          </w:tcPr>
          <w:p w14:paraId="7BCAE718" w14:textId="44ABF774" w:rsidR="00CC52DA" w:rsidRPr="00BE3F2D" w:rsidRDefault="00CC52DA" w:rsidP="00CC52DA">
            <w:pPr>
              <w:pStyle w:val="ESVTablebody"/>
              <w:rPr>
                <w:color w:val="006100"/>
                <w:lang w:eastAsia="en-AU"/>
              </w:rPr>
            </w:pPr>
            <w:r w:rsidRPr="008D0B99">
              <w:rPr>
                <w:color w:val="006100"/>
                <w:lang w:eastAsia="en-AU"/>
              </w:rPr>
              <w:t>Yes</w:t>
            </w:r>
          </w:p>
        </w:tc>
      </w:tr>
      <w:tr w:rsidR="00CC52DA" w:rsidRPr="005C68CB" w14:paraId="52692A88" w14:textId="77777777" w:rsidTr="00BE3F2D">
        <w:trPr>
          <w:trHeight w:val="600"/>
        </w:trPr>
        <w:tc>
          <w:tcPr>
            <w:tcW w:w="1190" w:type="pct"/>
            <w:tcBorders>
              <w:top w:val="nil"/>
              <w:left w:val="nil"/>
              <w:bottom w:val="nil"/>
              <w:right w:val="nil"/>
            </w:tcBorders>
            <w:shd w:val="clear" w:color="auto" w:fill="auto"/>
            <w:noWrap/>
            <w:vAlign w:val="bottom"/>
            <w:hideMark/>
          </w:tcPr>
          <w:p w14:paraId="3DCA301B" w14:textId="77777777" w:rsidR="00CC52DA" w:rsidRPr="00EC037F" w:rsidRDefault="00CC52DA" w:rsidP="00CC52DA">
            <w:pPr>
              <w:pStyle w:val="ESVTablebody"/>
              <w:rPr>
                <w:vertAlign w:val="superscript"/>
              </w:rPr>
            </w:pPr>
            <w:r w:rsidRPr="005C68CB">
              <w:t>Kalkallo</w:t>
            </w:r>
            <w:r>
              <w:rPr>
                <w:vertAlign w:val="superscript"/>
              </w:rPr>
              <w:t>1</w:t>
            </w:r>
          </w:p>
        </w:tc>
        <w:tc>
          <w:tcPr>
            <w:tcW w:w="502" w:type="pct"/>
            <w:tcBorders>
              <w:top w:val="nil"/>
              <w:left w:val="nil"/>
              <w:bottom w:val="nil"/>
              <w:right w:val="nil"/>
            </w:tcBorders>
            <w:shd w:val="clear" w:color="auto" w:fill="auto"/>
            <w:noWrap/>
            <w:vAlign w:val="bottom"/>
            <w:hideMark/>
          </w:tcPr>
          <w:p w14:paraId="10A45760" w14:textId="77777777" w:rsidR="00CC52DA" w:rsidRPr="005C68CB" w:rsidRDefault="00CC52DA" w:rsidP="00CC52DA">
            <w:pPr>
              <w:pStyle w:val="ESVTablebody"/>
            </w:pPr>
            <w:r w:rsidRPr="005C68CB">
              <w:t>KLO</w:t>
            </w:r>
          </w:p>
        </w:tc>
        <w:tc>
          <w:tcPr>
            <w:tcW w:w="515" w:type="pct"/>
            <w:tcBorders>
              <w:top w:val="nil"/>
              <w:left w:val="nil"/>
              <w:bottom w:val="nil"/>
              <w:right w:val="nil"/>
            </w:tcBorders>
            <w:shd w:val="clear" w:color="auto" w:fill="auto"/>
            <w:noWrap/>
            <w:vAlign w:val="bottom"/>
            <w:hideMark/>
          </w:tcPr>
          <w:p w14:paraId="0BB8B001" w14:textId="77777777" w:rsidR="00CC52DA" w:rsidRPr="005C68CB" w:rsidRDefault="00CC52DA" w:rsidP="00CC52DA">
            <w:pPr>
              <w:pStyle w:val="ESVTablebody"/>
            </w:pPr>
            <w:r w:rsidRPr="005C68CB">
              <w:t>3</w:t>
            </w:r>
          </w:p>
        </w:tc>
        <w:tc>
          <w:tcPr>
            <w:tcW w:w="441" w:type="pct"/>
            <w:tcBorders>
              <w:top w:val="nil"/>
              <w:left w:val="nil"/>
              <w:bottom w:val="nil"/>
              <w:right w:val="nil"/>
            </w:tcBorders>
            <w:shd w:val="clear" w:color="auto" w:fill="auto"/>
            <w:noWrap/>
            <w:vAlign w:val="bottom"/>
            <w:hideMark/>
          </w:tcPr>
          <w:p w14:paraId="4744DDB2" w14:textId="77777777" w:rsidR="00CC52DA" w:rsidRPr="005C68CB" w:rsidRDefault="00CC52DA" w:rsidP="00CC52DA">
            <w:pPr>
              <w:pStyle w:val="ESVTablebody"/>
            </w:pPr>
            <w:r w:rsidRPr="005C68CB">
              <w:t>3</w:t>
            </w:r>
          </w:p>
        </w:tc>
        <w:tc>
          <w:tcPr>
            <w:tcW w:w="1104" w:type="pct"/>
            <w:tcBorders>
              <w:top w:val="nil"/>
              <w:left w:val="nil"/>
              <w:bottom w:val="nil"/>
              <w:right w:val="nil"/>
            </w:tcBorders>
            <w:shd w:val="clear" w:color="auto" w:fill="C6EFCE"/>
            <w:noWrap/>
            <w:vAlign w:val="bottom"/>
            <w:hideMark/>
          </w:tcPr>
          <w:p w14:paraId="37F9CC82" w14:textId="1440ECCB" w:rsidR="00CC52DA" w:rsidRPr="00BE3F2D" w:rsidRDefault="00CC52DA" w:rsidP="00CC52DA">
            <w:pPr>
              <w:pStyle w:val="ESVTablebody"/>
              <w:rPr>
                <w:color w:val="006100"/>
                <w:lang w:eastAsia="en-AU"/>
              </w:rPr>
            </w:pPr>
            <w:r w:rsidRPr="008D0B99">
              <w:rPr>
                <w:color w:val="006100"/>
                <w:lang w:eastAsia="en-AU"/>
              </w:rPr>
              <w:t>Yes</w:t>
            </w:r>
          </w:p>
        </w:tc>
        <w:tc>
          <w:tcPr>
            <w:tcW w:w="1248" w:type="pct"/>
            <w:tcBorders>
              <w:top w:val="nil"/>
              <w:left w:val="nil"/>
              <w:bottom w:val="nil"/>
              <w:right w:val="nil"/>
            </w:tcBorders>
            <w:shd w:val="clear" w:color="auto" w:fill="C6EFCE"/>
            <w:noWrap/>
            <w:vAlign w:val="bottom"/>
            <w:hideMark/>
          </w:tcPr>
          <w:p w14:paraId="05275EB6" w14:textId="19C8DE72" w:rsidR="00CC52DA" w:rsidRPr="00BE3F2D" w:rsidRDefault="00CC52DA" w:rsidP="00CC52DA">
            <w:pPr>
              <w:pStyle w:val="ESVTablebody"/>
              <w:rPr>
                <w:color w:val="006100"/>
                <w:lang w:eastAsia="en-AU"/>
              </w:rPr>
            </w:pPr>
            <w:r w:rsidRPr="008D0B99">
              <w:rPr>
                <w:color w:val="006100"/>
                <w:lang w:eastAsia="en-AU"/>
              </w:rPr>
              <w:t>Yes</w:t>
            </w:r>
          </w:p>
        </w:tc>
      </w:tr>
      <w:tr w:rsidR="00362285" w:rsidRPr="005C68CB" w14:paraId="5D9034A3" w14:textId="77777777" w:rsidTr="00660470">
        <w:trPr>
          <w:trHeight w:val="315"/>
        </w:trPr>
        <w:tc>
          <w:tcPr>
            <w:tcW w:w="1190" w:type="pct"/>
            <w:tcBorders>
              <w:top w:val="single" w:sz="4" w:space="0" w:color="auto"/>
              <w:left w:val="nil"/>
              <w:bottom w:val="single" w:sz="8" w:space="0" w:color="auto"/>
              <w:right w:val="nil"/>
            </w:tcBorders>
            <w:shd w:val="clear" w:color="auto" w:fill="auto"/>
            <w:noWrap/>
            <w:vAlign w:val="bottom"/>
            <w:hideMark/>
          </w:tcPr>
          <w:p w14:paraId="27918903" w14:textId="77777777" w:rsidR="00062413" w:rsidRPr="005C68CB" w:rsidRDefault="00062413" w:rsidP="005313B2">
            <w:pPr>
              <w:pStyle w:val="ESVTablebody"/>
              <w:rPr>
                <w:b/>
                <w:lang w:eastAsia="en-AU"/>
              </w:rPr>
            </w:pPr>
            <w:r w:rsidRPr="005C68CB">
              <w:rPr>
                <w:b/>
                <w:lang w:eastAsia="en-AU"/>
              </w:rPr>
              <w:t>Total Program (1 May 2023)</w:t>
            </w:r>
          </w:p>
        </w:tc>
        <w:tc>
          <w:tcPr>
            <w:tcW w:w="1017" w:type="pct"/>
            <w:gridSpan w:val="2"/>
            <w:tcBorders>
              <w:top w:val="single" w:sz="4" w:space="0" w:color="auto"/>
              <w:left w:val="nil"/>
              <w:bottom w:val="single" w:sz="8" w:space="0" w:color="auto"/>
              <w:right w:val="nil"/>
            </w:tcBorders>
            <w:shd w:val="clear" w:color="auto" w:fill="auto"/>
            <w:noWrap/>
            <w:vAlign w:val="bottom"/>
            <w:hideMark/>
          </w:tcPr>
          <w:p w14:paraId="1541F742" w14:textId="77777777" w:rsidR="00062413" w:rsidRPr="005C68CB" w:rsidRDefault="00062413" w:rsidP="005313B2">
            <w:pPr>
              <w:pStyle w:val="ESVTablebody"/>
              <w:rPr>
                <w:b/>
                <w:lang w:eastAsia="en-AU"/>
              </w:rPr>
            </w:pPr>
          </w:p>
        </w:tc>
        <w:tc>
          <w:tcPr>
            <w:tcW w:w="441" w:type="pct"/>
            <w:tcBorders>
              <w:top w:val="single" w:sz="4" w:space="0" w:color="auto"/>
              <w:left w:val="nil"/>
              <w:bottom w:val="single" w:sz="8" w:space="0" w:color="auto"/>
              <w:right w:val="nil"/>
            </w:tcBorders>
            <w:shd w:val="clear" w:color="auto" w:fill="auto"/>
            <w:noWrap/>
            <w:vAlign w:val="bottom"/>
            <w:hideMark/>
          </w:tcPr>
          <w:p w14:paraId="1EB7572D" w14:textId="77777777" w:rsidR="00062413" w:rsidRPr="005C68CB" w:rsidRDefault="00062413" w:rsidP="005313B2">
            <w:pPr>
              <w:pStyle w:val="ESVTablebody"/>
              <w:rPr>
                <w:b/>
                <w:lang w:eastAsia="en-AU"/>
              </w:rPr>
            </w:pPr>
            <w:r w:rsidRPr="005C68CB">
              <w:rPr>
                <w:b/>
                <w:lang w:eastAsia="en-AU"/>
              </w:rPr>
              <w:t>4</w:t>
            </w:r>
          </w:p>
        </w:tc>
        <w:tc>
          <w:tcPr>
            <w:tcW w:w="1104" w:type="pct"/>
            <w:tcBorders>
              <w:top w:val="single" w:sz="4" w:space="0" w:color="auto"/>
              <w:left w:val="nil"/>
              <w:bottom w:val="single" w:sz="8" w:space="0" w:color="auto"/>
              <w:right w:val="nil"/>
            </w:tcBorders>
            <w:shd w:val="clear" w:color="auto" w:fill="auto"/>
            <w:noWrap/>
            <w:vAlign w:val="bottom"/>
            <w:hideMark/>
          </w:tcPr>
          <w:p w14:paraId="7A9815A9" w14:textId="4A0A85D1" w:rsidR="00062413" w:rsidRPr="005C68CB" w:rsidRDefault="00CC52DA" w:rsidP="005313B2">
            <w:pPr>
              <w:pStyle w:val="ESVTablebody"/>
              <w:rPr>
                <w:b/>
                <w:lang w:eastAsia="en-AU"/>
              </w:rPr>
            </w:pPr>
            <w:r>
              <w:rPr>
                <w:b/>
                <w:lang w:eastAsia="en-AU"/>
              </w:rPr>
              <w:t>4</w:t>
            </w:r>
          </w:p>
        </w:tc>
        <w:tc>
          <w:tcPr>
            <w:tcW w:w="1248" w:type="pct"/>
            <w:tcBorders>
              <w:top w:val="single" w:sz="4" w:space="0" w:color="auto"/>
              <w:left w:val="nil"/>
              <w:bottom w:val="single" w:sz="8" w:space="0" w:color="auto"/>
              <w:right w:val="nil"/>
            </w:tcBorders>
            <w:shd w:val="clear" w:color="auto" w:fill="auto"/>
            <w:noWrap/>
            <w:vAlign w:val="bottom"/>
            <w:hideMark/>
          </w:tcPr>
          <w:p w14:paraId="3783FD11" w14:textId="10BC8AEE" w:rsidR="00062413" w:rsidRPr="005C68CB" w:rsidRDefault="00CC52DA" w:rsidP="005313B2">
            <w:pPr>
              <w:pStyle w:val="ESVTablebody"/>
              <w:rPr>
                <w:b/>
                <w:lang w:eastAsia="en-AU"/>
              </w:rPr>
            </w:pPr>
            <w:r>
              <w:rPr>
                <w:b/>
                <w:lang w:eastAsia="en-AU"/>
              </w:rPr>
              <w:t>4</w:t>
            </w:r>
          </w:p>
        </w:tc>
      </w:tr>
    </w:tbl>
    <w:p w14:paraId="00404BA7" w14:textId="77777777" w:rsidR="00062413" w:rsidRPr="00EC037F" w:rsidRDefault="00062413" w:rsidP="00062413">
      <w:pPr>
        <w:pStyle w:val="ESVBody"/>
        <w:rPr>
          <w:b/>
          <w:u w:val="single"/>
        </w:rPr>
      </w:pPr>
      <w:r w:rsidRPr="00EC037F">
        <w:rPr>
          <w:b/>
          <w:u w:val="single"/>
        </w:rPr>
        <w:t>Notes:</w:t>
      </w:r>
    </w:p>
    <w:p w14:paraId="3DA2F180" w14:textId="2C2A846F" w:rsidR="00062413" w:rsidRDefault="00062413" w:rsidP="00062413">
      <w:pPr>
        <w:pStyle w:val="ESVBody"/>
        <w:numPr>
          <w:ilvl w:val="0"/>
          <w:numId w:val="24"/>
        </w:numPr>
      </w:pPr>
      <w:r>
        <w:t xml:space="preserve">Kalkallo </w:t>
      </w:r>
      <w:r w:rsidRPr="00EC037F">
        <w:t xml:space="preserve">substation is owned by AusNet Services but supplies three feeders owned by </w:t>
      </w:r>
      <w:r>
        <w:t>Jemena that must have the required capacity</w:t>
      </w:r>
      <w:r w:rsidR="00CC52DA">
        <w:t xml:space="preserve"> o</w:t>
      </w:r>
      <w:r w:rsidR="000231D2">
        <w:t>r</w:t>
      </w:r>
      <w:r w:rsidR="00CC52DA">
        <w:t xml:space="preserve"> meet the requirements of an exemption</w:t>
      </w:r>
      <w:r>
        <w:t>.</w:t>
      </w:r>
    </w:p>
    <w:p w14:paraId="2F179F4F" w14:textId="77777777" w:rsidR="00062413" w:rsidRDefault="00062413" w:rsidP="00062413">
      <w:pPr>
        <w:pStyle w:val="ESVBody"/>
      </w:pPr>
    </w:p>
    <w:p w14:paraId="38475977" w14:textId="77777777" w:rsidR="00062413" w:rsidRDefault="00062413" w:rsidP="00062413">
      <w:pPr>
        <w:pStyle w:val="Heading3"/>
      </w:pPr>
      <w:r>
        <w:t>United Energy</w:t>
      </w:r>
    </w:p>
    <w:tbl>
      <w:tblPr>
        <w:tblW w:w="5000" w:type="pct"/>
        <w:tblLayout w:type="fixed"/>
        <w:tblCellMar>
          <w:left w:w="57" w:type="dxa"/>
          <w:right w:w="57" w:type="dxa"/>
        </w:tblCellMar>
        <w:tblLook w:val="04A0" w:firstRow="1" w:lastRow="0" w:firstColumn="1" w:lastColumn="0" w:noHBand="0" w:noVBand="1"/>
      </w:tblPr>
      <w:tblGrid>
        <w:gridCol w:w="2268"/>
        <w:gridCol w:w="993"/>
        <w:gridCol w:w="993"/>
        <w:gridCol w:w="850"/>
        <w:gridCol w:w="2126"/>
        <w:gridCol w:w="2408"/>
      </w:tblGrid>
      <w:tr w:rsidR="00062413" w:rsidRPr="008D0B99" w14:paraId="486E763F" w14:textId="77777777" w:rsidTr="00660470">
        <w:trPr>
          <w:trHeight w:val="315"/>
        </w:trPr>
        <w:tc>
          <w:tcPr>
            <w:tcW w:w="1177" w:type="pct"/>
            <w:tcBorders>
              <w:top w:val="single" w:sz="8" w:space="0" w:color="auto"/>
              <w:left w:val="nil"/>
              <w:bottom w:val="single" w:sz="8" w:space="0" w:color="auto"/>
              <w:right w:val="nil"/>
            </w:tcBorders>
            <w:shd w:val="clear" w:color="auto" w:fill="auto"/>
            <w:noWrap/>
            <w:vAlign w:val="bottom"/>
            <w:hideMark/>
          </w:tcPr>
          <w:p w14:paraId="243FF3D0" w14:textId="77777777" w:rsidR="00062413" w:rsidRPr="008D0B99" w:rsidRDefault="00062413" w:rsidP="005313B2">
            <w:pPr>
              <w:pStyle w:val="ESVTablebody"/>
              <w:rPr>
                <w:b/>
                <w:lang w:eastAsia="en-AU"/>
              </w:rPr>
            </w:pPr>
            <w:r w:rsidRPr="008D0B99">
              <w:rPr>
                <w:b/>
                <w:lang w:eastAsia="en-AU"/>
              </w:rPr>
              <w:t>REFCL Location</w:t>
            </w:r>
          </w:p>
        </w:tc>
        <w:tc>
          <w:tcPr>
            <w:tcW w:w="515" w:type="pct"/>
            <w:tcBorders>
              <w:top w:val="single" w:sz="8" w:space="0" w:color="auto"/>
              <w:left w:val="nil"/>
              <w:bottom w:val="single" w:sz="8" w:space="0" w:color="auto"/>
              <w:right w:val="nil"/>
            </w:tcBorders>
            <w:shd w:val="clear" w:color="auto" w:fill="auto"/>
            <w:noWrap/>
            <w:vAlign w:val="bottom"/>
            <w:hideMark/>
          </w:tcPr>
          <w:p w14:paraId="44793446" w14:textId="77777777" w:rsidR="00062413" w:rsidRPr="008D0B99" w:rsidRDefault="00062413" w:rsidP="005313B2">
            <w:pPr>
              <w:pStyle w:val="ESVTablebody"/>
              <w:rPr>
                <w:b/>
                <w:lang w:eastAsia="en-AU"/>
              </w:rPr>
            </w:pPr>
            <w:r w:rsidRPr="008D0B99">
              <w:rPr>
                <w:b/>
                <w:lang w:eastAsia="en-AU"/>
              </w:rPr>
              <w:t>Code</w:t>
            </w:r>
          </w:p>
        </w:tc>
        <w:tc>
          <w:tcPr>
            <w:tcW w:w="515" w:type="pct"/>
            <w:tcBorders>
              <w:top w:val="single" w:sz="8" w:space="0" w:color="auto"/>
              <w:left w:val="nil"/>
              <w:bottom w:val="single" w:sz="8" w:space="0" w:color="auto"/>
              <w:right w:val="nil"/>
            </w:tcBorders>
            <w:shd w:val="clear" w:color="auto" w:fill="auto"/>
            <w:noWrap/>
            <w:vAlign w:val="bottom"/>
            <w:hideMark/>
          </w:tcPr>
          <w:p w14:paraId="78D746BB" w14:textId="77777777" w:rsidR="00062413" w:rsidRPr="008D0B99" w:rsidRDefault="00062413" w:rsidP="005313B2">
            <w:pPr>
              <w:pStyle w:val="ESVTablebody"/>
              <w:rPr>
                <w:b/>
                <w:lang w:eastAsia="en-AU"/>
              </w:rPr>
            </w:pPr>
            <w:r w:rsidRPr="008D0B99">
              <w:rPr>
                <w:b/>
                <w:lang w:eastAsia="en-AU"/>
              </w:rPr>
              <w:t>Tranche</w:t>
            </w:r>
          </w:p>
        </w:tc>
        <w:tc>
          <w:tcPr>
            <w:tcW w:w="441" w:type="pct"/>
            <w:tcBorders>
              <w:top w:val="single" w:sz="8" w:space="0" w:color="auto"/>
              <w:left w:val="nil"/>
              <w:bottom w:val="single" w:sz="8" w:space="0" w:color="auto"/>
              <w:right w:val="nil"/>
            </w:tcBorders>
            <w:shd w:val="clear" w:color="auto" w:fill="auto"/>
            <w:noWrap/>
            <w:vAlign w:val="bottom"/>
            <w:hideMark/>
          </w:tcPr>
          <w:p w14:paraId="75C163F3" w14:textId="4B9F166C" w:rsidR="00062413" w:rsidRPr="008D0B99" w:rsidRDefault="00477883" w:rsidP="005313B2">
            <w:pPr>
              <w:pStyle w:val="ESVTablebody"/>
              <w:rPr>
                <w:b/>
                <w:lang w:eastAsia="en-AU"/>
              </w:rPr>
            </w:pPr>
            <w:r>
              <w:rPr>
                <w:b/>
                <w:lang w:eastAsia="en-AU"/>
              </w:rPr>
              <w:t>Points</w:t>
            </w:r>
          </w:p>
        </w:tc>
        <w:tc>
          <w:tcPr>
            <w:tcW w:w="1103" w:type="pct"/>
            <w:tcBorders>
              <w:top w:val="single" w:sz="8" w:space="0" w:color="auto"/>
              <w:left w:val="nil"/>
              <w:bottom w:val="single" w:sz="8" w:space="0" w:color="auto"/>
              <w:right w:val="nil"/>
            </w:tcBorders>
            <w:shd w:val="clear" w:color="auto" w:fill="auto"/>
            <w:noWrap/>
            <w:vAlign w:val="bottom"/>
            <w:hideMark/>
          </w:tcPr>
          <w:p w14:paraId="17245066" w14:textId="77777777" w:rsidR="00062413" w:rsidRPr="008D0B99" w:rsidRDefault="00062413" w:rsidP="005313B2">
            <w:pPr>
              <w:pStyle w:val="ESVTablebody"/>
              <w:rPr>
                <w:b/>
                <w:lang w:eastAsia="en-AU"/>
              </w:rPr>
            </w:pPr>
            <w:r w:rsidRPr="008D0B99">
              <w:rPr>
                <w:b/>
                <w:lang w:eastAsia="en-AU"/>
              </w:rPr>
              <w:t>Available for Service</w:t>
            </w:r>
          </w:p>
        </w:tc>
        <w:tc>
          <w:tcPr>
            <w:tcW w:w="1249" w:type="pct"/>
            <w:tcBorders>
              <w:top w:val="single" w:sz="8" w:space="0" w:color="auto"/>
              <w:left w:val="nil"/>
              <w:bottom w:val="single" w:sz="8" w:space="0" w:color="auto"/>
              <w:right w:val="nil"/>
            </w:tcBorders>
            <w:shd w:val="clear" w:color="auto" w:fill="auto"/>
            <w:noWrap/>
            <w:vAlign w:val="bottom"/>
            <w:hideMark/>
          </w:tcPr>
          <w:p w14:paraId="672D1AEA" w14:textId="312BF9E3" w:rsidR="00062413" w:rsidRPr="008D0B99" w:rsidRDefault="00362285" w:rsidP="005313B2">
            <w:pPr>
              <w:pStyle w:val="ESVTablebody"/>
              <w:rPr>
                <w:b/>
                <w:lang w:eastAsia="en-AU"/>
              </w:rPr>
            </w:pPr>
            <w:r>
              <w:rPr>
                <w:b/>
                <w:lang w:eastAsia="en-AU"/>
              </w:rPr>
              <w:t>Accepted as Compliant</w:t>
            </w:r>
          </w:p>
        </w:tc>
      </w:tr>
      <w:tr w:rsidR="00062413" w:rsidRPr="008D0B99" w14:paraId="6CE6BF23" w14:textId="77777777" w:rsidTr="00660470">
        <w:trPr>
          <w:trHeight w:val="300"/>
        </w:trPr>
        <w:tc>
          <w:tcPr>
            <w:tcW w:w="1177" w:type="pct"/>
            <w:tcBorders>
              <w:top w:val="nil"/>
              <w:left w:val="nil"/>
              <w:bottom w:val="nil"/>
              <w:right w:val="nil"/>
            </w:tcBorders>
            <w:shd w:val="clear" w:color="auto" w:fill="auto"/>
            <w:noWrap/>
            <w:vAlign w:val="bottom"/>
            <w:hideMark/>
          </w:tcPr>
          <w:p w14:paraId="50BB36A9" w14:textId="77777777" w:rsidR="00062413" w:rsidRPr="008D0B99" w:rsidRDefault="00062413" w:rsidP="005313B2">
            <w:pPr>
              <w:pStyle w:val="ESVTablebody"/>
              <w:rPr>
                <w:lang w:eastAsia="en-AU"/>
              </w:rPr>
            </w:pPr>
            <w:r w:rsidRPr="008D0B99">
              <w:rPr>
                <w:lang w:eastAsia="en-AU"/>
              </w:rPr>
              <w:t>Dromana</w:t>
            </w:r>
          </w:p>
        </w:tc>
        <w:tc>
          <w:tcPr>
            <w:tcW w:w="515" w:type="pct"/>
            <w:tcBorders>
              <w:top w:val="nil"/>
              <w:left w:val="nil"/>
              <w:bottom w:val="nil"/>
              <w:right w:val="nil"/>
            </w:tcBorders>
            <w:shd w:val="clear" w:color="auto" w:fill="auto"/>
            <w:noWrap/>
            <w:vAlign w:val="bottom"/>
            <w:hideMark/>
          </w:tcPr>
          <w:p w14:paraId="392CE130" w14:textId="77777777" w:rsidR="00062413" w:rsidRPr="008D0B99" w:rsidRDefault="00062413" w:rsidP="005313B2">
            <w:pPr>
              <w:pStyle w:val="ESVTablebody"/>
              <w:rPr>
                <w:lang w:eastAsia="en-AU"/>
              </w:rPr>
            </w:pPr>
            <w:r w:rsidRPr="008D0B99">
              <w:rPr>
                <w:lang w:eastAsia="en-AU"/>
              </w:rPr>
              <w:t>DMA</w:t>
            </w:r>
          </w:p>
        </w:tc>
        <w:tc>
          <w:tcPr>
            <w:tcW w:w="515" w:type="pct"/>
            <w:tcBorders>
              <w:top w:val="nil"/>
              <w:left w:val="nil"/>
              <w:bottom w:val="nil"/>
              <w:right w:val="nil"/>
            </w:tcBorders>
            <w:shd w:val="clear" w:color="auto" w:fill="auto"/>
            <w:noWrap/>
            <w:vAlign w:val="bottom"/>
            <w:hideMark/>
          </w:tcPr>
          <w:p w14:paraId="09C7C894" w14:textId="77777777" w:rsidR="00062413" w:rsidRPr="008D0B99" w:rsidRDefault="00062413" w:rsidP="005313B2">
            <w:pPr>
              <w:pStyle w:val="ESVTablebody"/>
              <w:rPr>
                <w:lang w:eastAsia="en-AU"/>
              </w:rPr>
            </w:pPr>
            <w:r w:rsidRPr="008D0B99">
              <w:rPr>
                <w:lang w:eastAsia="en-AU"/>
              </w:rPr>
              <w:t>N/A</w:t>
            </w:r>
          </w:p>
        </w:tc>
        <w:tc>
          <w:tcPr>
            <w:tcW w:w="441" w:type="pct"/>
            <w:tcBorders>
              <w:top w:val="nil"/>
              <w:left w:val="nil"/>
              <w:bottom w:val="nil"/>
              <w:right w:val="nil"/>
            </w:tcBorders>
            <w:shd w:val="clear" w:color="auto" w:fill="auto"/>
            <w:noWrap/>
            <w:vAlign w:val="bottom"/>
            <w:hideMark/>
          </w:tcPr>
          <w:p w14:paraId="50669CF2" w14:textId="77777777" w:rsidR="00062413" w:rsidRPr="008D0B99" w:rsidRDefault="00062413" w:rsidP="005313B2">
            <w:pPr>
              <w:pStyle w:val="ESVTablebody"/>
              <w:rPr>
                <w:lang w:eastAsia="en-AU"/>
              </w:rPr>
            </w:pPr>
            <w:r w:rsidRPr="008D0B99">
              <w:rPr>
                <w:lang w:eastAsia="en-AU"/>
              </w:rPr>
              <w:t>N/A</w:t>
            </w:r>
          </w:p>
        </w:tc>
        <w:tc>
          <w:tcPr>
            <w:tcW w:w="1103" w:type="pct"/>
            <w:tcBorders>
              <w:top w:val="nil"/>
              <w:left w:val="nil"/>
              <w:bottom w:val="nil"/>
              <w:right w:val="nil"/>
            </w:tcBorders>
            <w:shd w:val="clear" w:color="000000" w:fill="C6EFCE"/>
            <w:noWrap/>
            <w:vAlign w:val="bottom"/>
            <w:hideMark/>
          </w:tcPr>
          <w:p w14:paraId="0B9FDF30" w14:textId="77777777" w:rsidR="00062413" w:rsidRPr="008D0B99" w:rsidRDefault="00062413" w:rsidP="005313B2">
            <w:pPr>
              <w:pStyle w:val="ESVTablebody"/>
              <w:rPr>
                <w:color w:val="006100"/>
                <w:lang w:eastAsia="en-AU"/>
              </w:rPr>
            </w:pPr>
            <w:r w:rsidRPr="008D0B99">
              <w:rPr>
                <w:color w:val="006100"/>
                <w:lang w:eastAsia="en-AU"/>
              </w:rPr>
              <w:t>Yes</w:t>
            </w:r>
          </w:p>
        </w:tc>
        <w:tc>
          <w:tcPr>
            <w:tcW w:w="1249" w:type="pct"/>
            <w:tcBorders>
              <w:top w:val="nil"/>
              <w:left w:val="nil"/>
              <w:bottom w:val="nil"/>
              <w:right w:val="nil"/>
            </w:tcBorders>
            <w:shd w:val="clear" w:color="000000" w:fill="C6EFCE"/>
            <w:noWrap/>
            <w:vAlign w:val="bottom"/>
            <w:hideMark/>
          </w:tcPr>
          <w:p w14:paraId="0F41DDCD" w14:textId="77777777" w:rsidR="00062413" w:rsidRPr="008D0B99" w:rsidRDefault="00062413" w:rsidP="005313B2">
            <w:pPr>
              <w:pStyle w:val="ESVTablebody"/>
              <w:rPr>
                <w:color w:val="006100"/>
                <w:lang w:eastAsia="en-AU"/>
              </w:rPr>
            </w:pPr>
            <w:r w:rsidRPr="008D0B99">
              <w:rPr>
                <w:color w:val="006100"/>
                <w:lang w:eastAsia="en-AU"/>
              </w:rPr>
              <w:t>N/A</w:t>
            </w:r>
          </w:p>
        </w:tc>
      </w:tr>
      <w:tr w:rsidR="00062413" w:rsidRPr="008D0B99" w14:paraId="0BC4A813" w14:textId="77777777" w:rsidTr="00660470">
        <w:trPr>
          <w:trHeight w:val="300"/>
        </w:trPr>
        <w:tc>
          <w:tcPr>
            <w:tcW w:w="1177" w:type="pct"/>
            <w:tcBorders>
              <w:top w:val="nil"/>
              <w:left w:val="nil"/>
              <w:bottom w:val="nil"/>
              <w:right w:val="nil"/>
            </w:tcBorders>
            <w:shd w:val="clear" w:color="auto" w:fill="auto"/>
            <w:noWrap/>
            <w:vAlign w:val="bottom"/>
            <w:hideMark/>
          </w:tcPr>
          <w:p w14:paraId="6B3F8E5C" w14:textId="77777777" w:rsidR="00062413" w:rsidRPr="008D0B99" w:rsidRDefault="00062413" w:rsidP="005313B2">
            <w:pPr>
              <w:pStyle w:val="ESVTablebody"/>
              <w:rPr>
                <w:lang w:eastAsia="en-AU"/>
              </w:rPr>
            </w:pPr>
            <w:r w:rsidRPr="008D0B99">
              <w:rPr>
                <w:lang w:eastAsia="en-AU"/>
              </w:rPr>
              <w:t>Frankston South</w:t>
            </w:r>
          </w:p>
        </w:tc>
        <w:tc>
          <w:tcPr>
            <w:tcW w:w="515" w:type="pct"/>
            <w:tcBorders>
              <w:top w:val="nil"/>
              <w:left w:val="nil"/>
              <w:bottom w:val="nil"/>
              <w:right w:val="nil"/>
            </w:tcBorders>
            <w:shd w:val="clear" w:color="auto" w:fill="auto"/>
            <w:noWrap/>
            <w:vAlign w:val="bottom"/>
            <w:hideMark/>
          </w:tcPr>
          <w:p w14:paraId="004547F3" w14:textId="77777777" w:rsidR="00062413" w:rsidRPr="008D0B99" w:rsidRDefault="00062413" w:rsidP="005313B2">
            <w:pPr>
              <w:pStyle w:val="ESVTablebody"/>
              <w:rPr>
                <w:lang w:eastAsia="en-AU"/>
              </w:rPr>
            </w:pPr>
            <w:r w:rsidRPr="008D0B99">
              <w:rPr>
                <w:lang w:eastAsia="en-AU"/>
              </w:rPr>
              <w:t>FSH</w:t>
            </w:r>
          </w:p>
        </w:tc>
        <w:tc>
          <w:tcPr>
            <w:tcW w:w="515" w:type="pct"/>
            <w:tcBorders>
              <w:top w:val="nil"/>
              <w:left w:val="nil"/>
              <w:bottom w:val="nil"/>
              <w:right w:val="nil"/>
            </w:tcBorders>
            <w:shd w:val="clear" w:color="auto" w:fill="auto"/>
            <w:noWrap/>
            <w:vAlign w:val="bottom"/>
            <w:hideMark/>
          </w:tcPr>
          <w:p w14:paraId="7CE5F7BC" w14:textId="77777777" w:rsidR="00062413" w:rsidRPr="008D0B99" w:rsidRDefault="00062413" w:rsidP="005313B2">
            <w:pPr>
              <w:pStyle w:val="ESVTablebody"/>
              <w:rPr>
                <w:lang w:eastAsia="en-AU"/>
              </w:rPr>
            </w:pPr>
            <w:r w:rsidRPr="008D0B99">
              <w:rPr>
                <w:lang w:eastAsia="en-AU"/>
              </w:rPr>
              <w:t>N/A</w:t>
            </w:r>
          </w:p>
        </w:tc>
        <w:tc>
          <w:tcPr>
            <w:tcW w:w="441" w:type="pct"/>
            <w:tcBorders>
              <w:top w:val="nil"/>
              <w:left w:val="nil"/>
              <w:bottom w:val="nil"/>
              <w:right w:val="nil"/>
            </w:tcBorders>
            <w:shd w:val="clear" w:color="auto" w:fill="auto"/>
            <w:noWrap/>
            <w:vAlign w:val="bottom"/>
            <w:hideMark/>
          </w:tcPr>
          <w:p w14:paraId="1D5DEBED" w14:textId="77777777" w:rsidR="00062413" w:rsidRPr="008D0B99" w:rsidRDefault="00062413" w:rsidP="005313B2">
            <w:pPr>
              <w:pStyle w:val="ESVTablebody"/>
              <w:rPr>
                <w:lang w:eastAsia="en-AU"/>
              </w:rPr>
            </w:pPr>
            <w:r w:rsidRPr="008D0B99">
              <w:rPr>
                <w:lang w:eastAsia="en-AU"/>
              </w:rPr>
              <w:t>N/A</w:t>
            </w:r>
          </w:p>
        </w:tc>
        <w:tc>
          <w:tcPr>
            <w:tcW w:w="1103" w:type="pct"/>
            <w:tcBorders>
              <w:top w:val="nil"/>
              <w:left w:val="nil"/>
              <w:bottom w:val="nil"/>
              <w:right w:val="nil"/>
            </w:tcBorders>
            <w:shd w:val="clear" w:color="000000" w:fill="C6EFCE"/>
            <w:noWrap/>
            <w:vAlign w:val="bottom"/>
            <w:hideMark/>
          </w:tcPr>
          <w:p w14:paraId="373091EE" w14:textId="77777777" w:rsidR="00062413" w:rsidRPr="008D0B99" w:rsidRDefault="00062413" w:rsidP="005313B2">
            <w:pPr>
              <w:pStyle w:val="ESVTablebody"/>
              <w:rPr>
                <w:color w:val="006100"/>
                <w:lang w:eastAsia="en-AU"/>
              </w:rPr>
            </w:pPr>
            <w:r w:rsidRPr="008D0B99">
              <w:rPr>
                <w:color w:val="006100"/>
                <w:lang w:eastAsia="en-AU"/>
              </w:rPr>
              <w:t>Yes</w:t>
            </w:r>
          </w:p>
        </w:tc>
        <w:tc>
          <w:tcPr>
            <w:tcW w:w="1249" w:type="pct"/>
            <w:tcBorders>
              <w:top w:val="nil"/>
              <w:left w:val="nil"/>
              <w:bottom w:val="nil"/>
              <w:right w:val="nil"/>
            </w:tcBorders>
            <w:shd w:val="clear" w:color="000000" w:fill="C6EFCE"/>
            <w:noWrap/>
            <w:vAlign w:val="bottom"/>
            <w:hideMark/>
          </w:tcPr>
          <w:p w14:paraId="5D5B1F17" w14:textId="77777777" w:rsidR="00062413" w:rsidRPr="008D0B99" w:rsidRDefault="00062413" w:rsidP="005313B2">
            <w:pPr>
              <w:pStyle w:val="ESVTablebody"/>
              <w:rPr>
                <w:color w:val="006100"/>
                <w:lang w:eastAsia="en-AU"/>
              </w:rPr>
            </w:pPr>
            <w:r w:rsidRPr="008D0B99">
              <w:rPr>
                <w:color w:val="006100"/>
                <w:lang w:eastAsia="en-AU"/>
              </w:rPr>
              <w:t>N/A</w:t>
            </w:r>
          </w:p>
        </w:tc>
      </w:tr>
      <w:tr w:rsidR="00062413" w:rsidRPr="008D0B99" w14:paraId="6C949CFA" w14:textId="77777777" w:rsidTr="00660470">
        <w:trPr>
          <w:trHeight w:val="945"/>
        </w:trPr>
        <w:tc>
          <w:tcPr>
            <w:tcW w:w="1177" w:type="pct"/>
            <w:tcBorders>
              <w:top w:val="nil"/>
              <w:left w:val="nil"/>
              <w:bottom w:val="single" w:sz="8" w:space="0" w:color="auto"/>
              <w:right w:val="nil"/>
            </w:tcBorders>
            <w:shd w:val="clear" w:color="auto" w:fill="auto"/>
            <w:noWrap/>
            <w:vAlign w:val="bottom"/>
            <w:hideMark/>
          </w:tcPr>
          <w:p w14:paraId="127097E7" w14:textId="77777777" w:rsidR="00062413" w:rsidRPr="008D0B99" w:rsidRDefault="00062413" w:rsidP="005313B2">
            <w:pPr>
              <w:pStyle w:val="ESVTablebody"/>
              <w:rPr>
                <w:lang w:eastAsia="en-AU"/>
              </w:rPr>
            </w:pPr>
            <w:r w:rsidRPr="008D0B99">
              <w:rPr>
                <w:lang w:eastAsia="en-AU"/>
              </w:rPr>
              <w:t>Mornington</w:t>
            </w:r>
          </w:p>
        </w:tc>
        <w:tc>
          <w:tcPr>
            <w:tcW w:w="515" w:type="pct"/>
            <w:tcBorders>
              <w:top w:val="nil"/>
              <w:left w:val="nil"/>
              <w:bottom w:val="single" w:sz="8" w:space="0" w:color="auto"/>
              <w:right w:val="nil"/>
            </w:tcBorders>
            <w:shd w:val="clear" w:color="auto" w:fill="auto"/>
            <w:noWrap/>
            <w:vAlign w:val="bottom"/>
            <w:hideMark/>
          </w:tcPr>
          <w:p w14:paraId="048038D6" w14:textId="77777777" w:rsidR="00062413" w:rsidRPr="008D0B99" w:rsidRDefault="00062413" w:rsidP="005313B2">
            <w:pPr>
              <w:pStyle w:val="ESVTablebody"/>
              <w:rPr>
                <w:lang w:eastAsia="en-AU"/>
              </w:rPr>
            </w:pPr>
            <w:r w:rsidRPr="008D0B99">
              <w:rPr>
                <w:lang w:eastAsia="en-AU"/>
              </w:rPr>
              <w:t>MTN</w:t>
            </w:r>
          </w:p>
        </w:tc>
        <w:tc>
          <w:tcPr>
            <w:tcW w:w="515" w:type="pct"/>
            <w:tcBorders>
              <w:top w:val="nil"/>
              <w:left w:val="nil"/>
              <w:bottom w:val="single" w:sz="8" w:space="0" w:color="auto"/>
              <w:right w:val="nil"/>
            </w:tcBorders>
            <w:shd w:val="clear" w:color="auto" w:fill="auto"/>
            <w:noWrap/>
            <w:vAlign w:val="bottom"/>
            <w:hideMark/>
          </w:tcPr>
          <w:p w14:paraId="46111AE5" w14:textId="77777777" w:rsidR="00062413" w:rsidRPr="008D0B99" w:rsidRDefault="00062413" w:rsidP="005313B2">
            <w:pPr>
              <w:pStyle w:val="ESVTablebody"/>
              <w:rPr>
                <w:lang w:eastAsia="en-AU"/>
              </w:rPr>
            </w:pPr>
            <w:r w:rsidRPr="008D0B99">
              <w:rPr>
                <w:lang w:eastAsia="en-AU"/>
              </w:rPr>
              <w:t>N/A</w:t>
            </w:r>
          </w:p>
        </w:tc>
        <w:tc>
          <w:tcPr>
            <w:tcW w:w="441" w:type="pct"/>
            <w:tcBorders>
              <w:top w:val="nil"/>
              <w:left w:val="nil"/>
              <w:bottom w:val="single" w:sz="8" w:space="0" w:color="auto"/>
              <w:right w:val="nil"/>
            </w:tcBorders>
            <w:shd w:val="clear" w:color="auto" w:fill="auto"/>
            <w:noWrap/>
            <w:vAlign w:val="bottom"/>
            <w:hideMark/>
          </w:tcPr>
          <w:p w14:paraId="1941A307" w14:textId="77777777" w:rsidR="00062413" w:rsidRPr="008D0B99" w:rsidRDefault="00062413" w:rsidP="005313B2">
            <w:pPr>
              <w:pStyle w:val="ESVTablebody"/>
              <w:rPr>
                <w:lang w:eastAsia="en-AU"/>
              </w:rPr>
            </w:pPr>
            <w:r w:rsidRPr="008D0B99">
              <w:rPr>
                <w:lang w:eastAsia="en-AU"/>
              </w:rPr>
              <w:t>N/A</w:t>
            </w:r>
          </w:p>
        </w:tc>
        <w:tc>
          <w:tcPr>
            <w:tcW w:w="1103" w:type="pct"/>
            <w:tcBorders>
              <w:top w:val="nil"/>
              <w:left w:val="nil"/>
              <w:bottom w:val="single" w:sz="8" w:space="0" w:color="auto"/>
              <w:right w:val="nil"/>
            </w:tcBorders>
            <w:shd w:val="clear" w:color="000000" w:fill="C6EFCE"/>
            <w:noWrap/>
            <w:vAlign w:val="bottom"/>
            <w:hideMark/>
          </w:tcPr>
          <w:p w14:paraId="0618033C" w14:textId="77777777" w:rsidR="00062413" w:rsidRPr="008D0B99" w:rsidRDefault="00062413" w:rsidP="005313B2">
            <w:pPr>
              <w:pStyle w:val="ESVTablebody"/>
              <w:rPr>
                <w:color w:val="006100"/>
                <w:lang w:eastAsia="en-AU"/>
              </w:rPr>
            </w:pPr>
            <w:r w:rsidRPr="008D0B99">
              <w:rPr>
                <w:color w:val="006100"/>
                <w:lang w:eastAsia="en-AU"/>
              </w:rPr>
              <w:t>Yes</w:t>
            </w:r>
          </w:p>
        </w:tc>
        <w:tc>
          <w:tcPr>
            <w:tcW w:w="1249" w:type="pct"/>
            <w:tcBorders>
              <w:top w:val="nil"/>
              <w:left w:val="nil"/>
              <w:bottom w:val="single" w:sz="8" w:space="0" w:color="auto"/>
              <w:right w:val="nil"/>
            </w:tcBorders>
            <w:shd w:val="clear" w:color="000000" w:fill="C6EFCE"/>
            <w:noWrap/>
            <w:vAlign w:val="bottom"/>
            <w:hideMark/>
          </w:tcPr>
          <w:p w14:paraId="6240D768" w14:textId="77777777" w:rsidR="00062413" w:rsidRPr="008D0B99" w:rsidRDefault="00062413" w:rsidP="005313B2">
            <w:pPr>
              <w:pStyle w:val="ESVTablebody"/>
              <w:rPr>
                <w:color w:val="006100"/>
                <w:lang w:eastAsia="en-AU"/>
              </w:rPr>
            </w:pPr>
            <w:r w:rsidRPr="008D0B99">
              <w:rPr>
                <w:color w:val="006100"/>
                <w:lang w:eastAsia="en-AU"/>
              </w:rPr>
              <w:t>N/A</w:t>
            </w:r>
          </w:p>
        </w:tc>
      </w:tr>
    </w:tbl>
    <w:p w14:paraId="1C5707C0" w14:textId="77777777" w:rsidR="00062413" w:rsidRPr="00EC037F" w:rsidRDefault="00062413" w:rsidP="00062413">
      <w:pPr>
        <w:pStyle w:val="ESVBody"/>
        <w:rPr>
          <w:b/>
          <w:u w:val="single"/>
        </w:rPr>
      </w:pPr>
      <w:r w:rsidRPr="00EC037F">
        <w:rPr>
          <w:b/>
          <w:u w:val="single"/>
        </w:rPr>
        <w:t>Notes:</w:t>
      </w:r>
    </w:p>
    <w:p w14:paraId="51D11E00" w14:textId="77777777" w:rsidR="00062413" w:rsidRDefault="00062413" w:rsidP="00062413">
      <w:pPr>
        <w:pStyle w:val="ESVBody"/>
        <w:numPr>
          <w:ilvl w:val="0"/>
          <w:numId w:val="25"/>
        </w:numPr>
      </w:pPr>
      <w:r w:rsidRPr="00EC037F">
        <w:t>United Energy</w:t>
      </w:r>
      <w:r>
        <w:t xml:space="preserve"> does not have a legislative obligation to install REFCLs anywhere on its network, but has</w:t>
      </w:r>
      <w:r w:rsidRPr="00EC037F">
        <w:t xml:space="preserve"> voluntarily installed REFCLs at three </w:t>
      </w:r>
      <w:r>
        <w:t>substations</w:t>
      </w:r>
      <w:r w:rsidRPr="00EC037F">
        <w:t xml:space="preserve">. Since these sites are not </w:t>
      </w:r>
      <w:r>
        <w:t>prescribed</w:t>
      </w:r>
      <w:r w:rsidRPr="00EC037F">
        <w:t xml:space="preserve"> in legislation they are not expected to achieve the sam</w:t>
      </w:r>
      <w:r>
        <w:t>e performance as mandated sites.</w:t>
      </w:r>
    </w:p>
    <w:p w14:paraId="5E78CA41" w14:textId="77777777" w:rsidR="00062413" w:rsidRDefault="00062413" w:rsidP="00062413">
      <w:pPr>
        <w:pStyle w:val="ESVBody"/>
      </w:pPr>
    </w:p>
    <w:p w14:paraId="5AF3FACD" w14:textId="77777777" w:rsidR="00062413" w:rsidRDefault="00062413">
      <w:pPr>
        <w:rPr>
          <w:rFonts w:ascii="Arial" w:eastAsia="MS Gothic" w:hAnsi="Arial"/>
          <w:b/>
          <w:bCs/>
          <w:color w:val="00007F"/>
          <w:sz w:val="24"/>
          <w:szCs w:val="26"/>
        </w:rPr>
      </w:pPr>
      <w:r>
        <w:br w:type="page"/>
      </w:r>
    </w:p>
    <w:p w14:paraId="5CE9667C" w14:textId="77777777" w:rsidR="008F3407" w:rsidRDefault="008D0B99" w:rsidP="008D0B99">
      <w:pPr>
        <w:pStyle w:val="Heading3"/>
      </w:pPr>
      <w:r>
        <w:lastRenderedPageBreak/>
        <w:t>AusNet Services</w:t>
      </w:r>
    </w:p>
    <w:tbl>
      <w:tblPr>
        <w:tblW w:w="5000" w:type="pct"/>
        <w:tblLayout w:type="fixed"/>
        <w:tblCellMar>
          <w:left w:w="57" w:type="dxa"/>
          <w:right w:w="57" w:type="dxa"/>
        </w:tblCellMar>
        <w:tblLook w:val="04A0" w:firstRow="1" w:lastRow="0" w:firstColumn="1" w:lastColumn="0" w:noHBand="0" w:noVBand="1"/>
      </w:tblPr>
      <w:tblGrid>
        <w:gridCol w:w="2552"/>
        <w:gridCol w:w="783"/>
        <w:gridCol w:w="921"/>
        <w:gridCol w:w="850"/>
        <w:gridCol w:w="2126"/>
        <w:gridCol w:w="2406"/>
      </w:tblGrid>
      <w:tr w:rsidR="00453DC4" w:rsidRPr="00AD259D" w14:paraId="77053E3D" w14:textId="77777777" w:rsidTr="00660470">
        <w:trPr>
          <w:trHeight w:val="315"/>
        </w:trPr>
        <w:tc>
          <w:tcPr>
            <w:tcW w:w="1324" w:type="pct"/>
            <w:tcBorders>
              <w:top w:val="single" w:sz="8" w:space="0" w:color="auto"/>
              <w:left w:val="nil"/>
              <w:bottom w:val="single" w:sz="8" w:space="0" w:color="auto"/>
              <w:right w:val="nil"/>
            </w:tcBorders>
            <w:shd w:val="clear" w:color="auto" w:fill="auto"/>
            <w:noWrap/>
            <w:vAlign w:val="bottom"/>
            <w:hideMark/>
          </w:tcPr>
          <w:p w14:paraId="010D7EFD" w14:textId="77777777" w:rsidR="008F3407" w:rsidRPr="00AD259D" w:rsidRDefault="008F3407" w:rsidP="00AD259D">
            <w:pPr>
              <w:pStyle w:val="ESVTablebody"/>
              <w:rPr>
                <w:b/>
                <w:lang w:eastAsia="en-AU"/>
              </w:rPr>
            </w:pPr>
            <w:r w:rsidRPr="00AD259D">
              <w:rPr>
                <w:b/>
                <w:lang w:eastAsia="en-AU"/>
              </w:rPr>
              <w:t>REFCL Location</w:t>
            </w:r>
          </w:p>
        </w:tc>
        <w:tc>
          <w:tcPr>
            <w:tcW w:w="406" w:type="pct"/>
            <w:tcBorders>
              <w:top w:val="single" w:sz="8" w:space="0" w:color="auto"/>
              <w:left w:val="nil"/>
              <w:bottom w:val="single" w:sz="8" w:space="0" w:color="auto"/>
              <w:right w:val="nil"/>
            </w:tcBorders>
            <w:shd w:val="clear" w:color="auto" w:fill="auto"/>
            <w:noWrap/>
            <w:vAlign w:val="bottom"/>
            <w:hideMark/>
          </w:tcPr>
          <w:p w14:paraId="7DCD5E83" w14:textId="77777777" w:rsidR="008F3407" w:rsidRPr="00AD259D" w:rsidRDefault="008F3407" w:rsidP="00AD259D">
            <w:pPr>
              <w:pStyle w:val="ESVTablebody"/>
              <w:rPr>
                <w:b/>
                <w:lang w:eastAsia="en-AU"/>
              </w:rPr>
            </w:pPr>
            <w:r w:rsidRPr="00AD259D">
              <w:rPr>
                <w:b/>
                <w:lang w:eastAsia="en-AU"/>
              </w:rPr>
              <w:t>Code</w:t>
            </w:r>
          </w:p>
        </w:tc>
        <w:tc>
          <w:tcPr>
            <w:tcW w:w="478" w:type="pct"/>
            <w:tcBorders>
              <w:top w:val="single" w:sz="8" w:space="0" w:color="auto"/>
              <w:left w:val="nil"/>
              <w:bottom w:val="single" w:sz="8" w:space="0" w:color="auto"/>
              <w:right w:val="nil"/>
            </w:tcBorders>
            <w:shd w:val="clear" w:color="auto" w:fill="auto"/>
            <w:noWrap/>
            <w:vAlign w:val="bottom"/>
            <w:hideMark/>
          </w:tcPr>
          <w:p w14:paraId="4AAFC70B" w14:textId="77777777" w:rsidR="008F3407" w:rsidRPr="00AD259D" w:rsidRDefault="008F3407" w:rsidP="00AD259D">
            <w:pPr>
              <w:pStyle w:val="ESVTablebody"/>
              <w:rPr>
                <w:b/>
                <w:lang w:eastAsia="en-AU"/>
              </w:rPr>
            </w:pPr>
            <w:r w:rsidRPr="00AD259D">
              <w:rPr>
                <w:b/>
                <w:lang w:eastAsia="en-AU"/>
              </w:rPr>
              <w:t>Tranche</w:t>
            </w:r>
          </w:p>
        </w:tc>
        <w:tc>
          <w:tcPr>
            <w:tcW w:w="441" w:type="pct"/>
            <w:tcBorders>
              <w:top w:val="single" w:sz="8" w:space="0" w:color="auto"/>
              <w:left w:val="nil"/>
              <w:bottom w:val="single" w:sz="8" w:space="0" w:color="auto"/>
              <w:right w:val="nil"/>
            </w:tcBorders>
            <w:shd w:val="clear" w:color="auto" w:fill="auto"/>
            <w:noWrap/>
            <w:vAlign w:val="bottom"/>
            <w:hideMark/>
          </w:tcPr>
          <w:p w14:paraId="5473D553" w14:textId="48635509" w:rsidR="008F3407" w:rsidRPr="00AD259D" w:rsidRDefault="00477883" w:rsidP="00AD259D">
            <w:pPr>
              <w:pStyle w:val="ESVTablebody"/>
              <w:rPr>
                <w:b/>
                <w:lang w:eastAsia="en-AU"/>
              </w:rPr>
            </w:pPr>
            <w:r>
              <w:rPr>
                <w:b/>
                <w:lang w:eastAsia="en-AU"/>
              </w:rPr>
              <w:t>Points</w:t>
            </w:r>
          </w:p>
        </w:tc>
        <w:tc>
          <w:tcPr>
            <w:tcW w:w="1103" w:type="pct"/>
            <w:tcBorders>
              <w:top w:val="single" w:sz="8" w:space="0" w:color="auto"/>
              <w:left w:val="nil"/>
              <w:bottom w:val="single" w:sz="8" w:space="0" w:color="auto"/>
              <w:right w:val="nil"/>
            </w:tcBorders>
            <w:shd w:val="clear" w:color="auto" w:fill="auto"/>
            <w:noWrap/>
            <w:vAlign w:val="bottom"/>
            <w:hideMark/>
          </w:tcPr>
          <w:p w14:paraId="7ACBB34E" w14:textId="77777777" w:rsidR="008F3407" w:rsidRPr="00AD259D" w:rsidRDefault="008F3407" w:rsidP="00AD259D">
            <w:pPr>
              <w:pStyle w:val="ESVTablebody"/>
              <w:rPr>
                <w:b/>
                <w:lang w:eastAsia="en-AU"/>
              </w:rPr>
            </w:pPr>
            <w:r w:rsidRPr="00AD259D">
              <w:rPr>
                <w:b/>
                <w:lang w:eastAsia="en-AU"/>
              </w:rPr>
              <w:t>Available for Service</w:t>
            </w:r>
          </w:p>
        </w:tc>
        <w:tc>
          <w:tcPr>
            <w:tcW w:w="1248" w:type="pct"/>
            <w:tcBorders>
              <w:top w:val="single" w:sz="8" w:space="0" w:color="auto"/>
              <w:left w:val="nil"/>
              <w:bottom w:val="single" w:sz="8" w:space="0" w:color="auto"/>
              <w:right w:val="nil"/>
            </w:tcBorders>
            <w:shd w:val="clear" w:color="auto" w:fill="auto"/>
            <w:noWrap/>
            <w:vAlign w:val="bottom"/>
            <w:hideMark/>
          </w:tcPr>
          <w:p w14:paraId="73AAB596" w14:textId="25C2135C" w:rsidR="008F3407" w:rsidRPr="00AD259D" w:rsidRDefault="00362285" w:rsidP="00AD259D">
            <w:pPr>
              <w:pStyle w:val="ESVTablebody"/>
              <w:rPr>
                <w:b/>
                <w:lang w:eastAsia="en-AU"/>
              </w:rPr>
            </w:pPr>
            <w:r>
              <w:rPr>
                <w:b/>
                <w:lang w:eastAsia="en-AU"/>
              </w:rPr>
              <w:t>Accepted as Compliant</w:t>
            </w:r>
          </w:p>
        </w:tc>
      </w:tr>
      <w:tr w:rsidR="00453DC4" w:rsidRPr="008F3407" w14:paraId="5159FB74" w14:textId="77777777" w:rsidTr="00660470">
        <w:trPr>
          <w:trHeight w:val="300"/>
        </w:trPr>
        <w:tc>
          <w:tcPr>
            <w:tcW w:w="1324" w:type="pct"/>
            <w:tcBorders>
              <w:top w:val="nil"/>
              <w:left w:val="nil"/>
              <w:bottom w:val="nil"/>
              <w:right w:val="nil"/>
            </w:tcBorders>
            <w:shd w:val="clear" w:color="auto" w:fill="auto"/>
            <w:noWrap/>
            <w:vAlign w:val="bottom"/>
            <w:hideMark/>
          </w:tcPr>
          <w:p w14:paraId="1F31A904" w14:textId="77777777" w:rsidR="008F3407" w:rsidRPr="008F3407" w:rsidRDefault="008F3407" w:rsidP="008F3407">
            <w:pPr>
              <w:pStyle w:val="ESVTablebody"/>
              <w:rPr>
                <w:lang w:eastAsia="en-AU"/>
              </w:rPr>
            </w:pPr>
            <w:r w:rsidRPr="008F3407">
              <w:rPr>
                <w:lang w:eastAsia="en-AU"/>
              </w:rPr>
              <w:t>Barnawartha</w:t>
            </w:r>
          </w:p>
        </w:tc>
        <w:tc>
          <w:tcPr>
            <w:tcW w:w="406" w:type="pct"/>
            <w:tcBorders>
              <w:top w:val="nil"/>
              <w:left w:val="nil"/>
              <w:bottom w:val="nil"/>
              <w:right w:val="nil"/>
            </w:tcBorders>
            <w:shd w:val="clear" w:color="auto" w:fill="auto"/>
            <w:noWrap/>
            <w:vAlign w:val="bottom"/>
            <w:hideMark/>
          </w:tcPr>
          <w:p w14:paraId="4F2DC5DC" w14:textId="77777777" w:rsidR="008F3407" w:rsidRPr="008F3407" w:rsidRDefault="008F3407" w:rsidP="008F3407">
            <w:pPr>
              <w:pStyle w:val="ESVTablebody"/>
              <w:rPr>
                <w:lang w:eastAsia="en-AU"/>
              </w:rPr>
            </w:pPr>
            <w:r w:rsidRPr="008F3407">
              <w:rPr>
                <w:lang w:eastAsia="en-AU"/>
              </w:rPr>
              <w:t>BWA</w:t>
            </w:r>
          </w:p>
        </w:tc>
        <w:tc>
          <w:tcPr>
            <w:tcW w:w="478" w:type="pct"/>
            <w:tcBorders>
              <w:top w:val="nil"/>
              <w:left w:val="nil"/>
              <w:bottom w:val="nil"/>
              <w:right w:val="nil"/>
            </w:tcBorders>
            <w:shd w:val="clear" w:color="auto" w:fill="auto"/>
            <w:noWrap/>
            <w:vAlign w:val="bottom"/>
            <w:hideMark/>
          </w:tcPr>
          <w:p w14:paraId="2A0C66BC" w14:textId="77777777" w:rsidR="008F3407" w:rsidRPr="008F3407" w:rsidRDefault="008F3407" w:rsidP="008F3407">
            <w:pPr>
              <w:pStyle w:val="ESVTablebody"/>
              <w:rPr>
                <w:lang w:eastAsia="en-AU"/>
              </w:rPr>
            </w:pPr>
            <w:r w:rsidRPr="008F3407">
              <w:rPr>
                <w:lang w:eastAsia="en-AU"/>
              </w:rPr>
              <w:t>1</w:t>
            </w:r>
          </w:p>
        </w:tc>
        <w:tc>
          <w:tcPr>
            <w:tcW w:w="441" w:type="pct"/>
            <w:tcBorders>
              <w:top w:val="nil"/>
              <w:left w:val="nil"/>
              <w:bottom w:val="nil"/>
              <w:right w:val="nil"/>
            </w:tcBorders>
            <w:shd w:val="clear" w:color="auto" w:fill="auto"/>
            <w:noWrap/>
            <w:vAlign w:val="bottom"/>
            <w:hideMark/>
          </w:tcPr>
          <w:p w14:paraId="38CDFDA8" w14:textId="77777777" w:rsidR="008F3407" w:rsidRPr="008F3407" w:rsidRDefault="008F3407" w:rsidP="008F3407">
            <w:pPr>
              <w:pStyle w:val="ESVTablebody"/>
              <w:rPr>
                <w:lang w:eastAsia="en-AU"/>
              </w:rPr>
            </w:pPr>
            <w:r w:rsidRPr="008F3407">
              <w:rPr>
                <w:lang w:eastAsia="en-AU"/>
              </w:rPr>
              <w:t>3</w:t>
            </w:r>
          </w:p>
        </w:tc>
        <w:tc>
          <w:tcPr>
            <w:tcW w:w="1103" w:type="pct"/>
            <w:tcBorders>
              <w:top w:val="nil"/>
              <w:left w:val="nil"/>
              <w:bottom w:val="nil"/>
              <w:right w:val="nil"/>
            </w:tcBorders>
            <w:shd w:val="clear" w:color="000000" w:fill="C6EFCE"/>
            <w:noWrap/>
            <w:vAlign w:val="bottom"/>
            <w:hideMark/>
          </w:tcPr>
          <w:p w14:paraId="5188FB2F" w14:textId="77777777" w:rsidR="008F3407" w:rsidRPr="008F3407" w:rsidRDefault="008F3407" w:rsidP="008F3407">
            <w:pPr>
              <w:pStyle w:val="ESVTablebody"/>
              <w:rPr>
                <w:color w:val="006100"/>
                <w:lang w:eastAsia="en-AU"/>
              </w:rPr>
            </w:pPr>
            <w:r w:rsidRPr="008F3407">
              <w:rPr>
                <w:color w:val="006100"/>
                <w:lang w:eastAsia="en-AU"/>
              </w:rPr>
              <w:t>Yes</w:t>
            </w:r>
          </w:p>
        </w:tc>
        <w:tc>
          <w:tcPr>
            <w:tcW w:w="1248" w:type="pct"/>
            <w:tcBorders>
              <w:top w:val="nil"/>
              <w:left w:val="nil"/>
              <w:bottom w:val="nil"/>
              <w:right w:val="nil"/>
            </w:tcBorders>
            <w:shd w:val="clear" w:color="000000" w:fill="C6EFCE"/>
            <w:noWrap/>
            <w:vAlign w:val="bottom"/>
            <w:hideMark/>
          </w:tcPr>
          <w:p w14:paraId="0F191C29" w14:textId="77777777" w:rsidR="008F3407" w:rsidRPr="008F3407" w:rsidRDefault="008F3407" w:rsidP="008F3407">
            <w:pPr>
              <w:pStyle w:val="ESVTablebody"/>
              <w:rPr>
                <w:color w:val="006100"/>
                <w:lang w:eastAsia="en-AU"/>
              </w:rPr>
            </w:pPr>
            <w:r w:rsidRPr="008F3407">
              <w:rPr>
                <w:color w:val="006100"/>
                <w:lang w:eastAsia="en-AU"/>
              </w:rPr>
              <w:t>Yes</w:t>
            </w:r>
          </w:p>
        </w:tc>
      </w:tr>
      <w:tr w:rsidR="00453DC4" w:rsidRPr="008F3407" w14:paraId="4FE27859" w14:textId="77777777" w:rsidTr="00660470">
        <w:trPr>
          <w:trHeight w:val="300"/>
        </w:trPr>
        <w:tc>
          <w:tcPr>
            <w:tcW w:w="1324" w:type="pct"/>
            <w:tcBorders>
              <w:top w:val="nil"/>
              <w:left w:val="nil"/>
              <w:bottom w:val="nil"/>
              <w:right w:val="nil"/>
            </w:tcBorders>
            <w:shd w:val="clear" w:color="auto" w:fill="auto"/>
            <w:noWrap/>
            <w:vAlign w:val="bottom"/>
            <w:hideMark/>
          </w:tcPr>
          <w:p w14:paraId="04107194" w14:textId="77777777" w:rsidR="008F3407" w:rsidRPr="008F3407" w:rsidRDefault="008F3407" w:rsidP="008F3407">
            <w:pPr>
              <w:pStyle w:val="ESVTablebody"/>
              <w:rPr>
                <w:lang w:eastAsia="en-AU"/>
              </w:rPr>
            </w:pPr>
            <w:r w:rsidRPr="008F3407">
              <w:rPr>
                <w:lang w:eastAsia="en-AU"/>
              </w:rPr>
              <w:t>Kilmore South</w:t>
            </w:r>
          </w:p>
        </w:tc>
        <w:tc>
          <w:tcPr>
            <w:tcW w:w="406" w:type="pct"/>
            <w:tcBorders>
              <w:top w:val="nil"/>
              <w:left w:val="nil"/>
              <w:bottom w:val="nil"/>
              <w:right w:val="nil"/>
            </w:tcBorders>
            <w:shd w:val="clear" w:color="auto" w:fill="auto"/>
            <w:noWrap/>
            <w:vAlign w:val="bottom"/>
            <w:hideMark/>
          </w:tcPr>
          <w:p w14:paraId="05E1E57B" w14:textId="77777777" w:rsidR="008F3407" w:rsidRPr="008F3407" w:rsidRDefault="008F3407" w:rsidP="008F3407">
            <w:pPr>
              <w:pStyle w:val="ESVTablebody"/>
              <w:rPr>
                <w:lang w:eastAsia="en-AU"/>
              </w:rPr>
            </w:pPr>
            <w:r w:rsidRPr="008F3407">
              <w:rPr>
                <w:lang w:eastAsia="en-AU"/>
              </w:rPr>
              <w:t>KMS</w:t>
            </w:r>
          </w:p>
        </w:tc>
        <w:tc>
          <w:tcPr>
            <w:tcW w:w="478" w:type="pct"/>
            <w:tcBorders>
              <w:top w:val="nil"/>
              <w:left w:val="nil"/>
              <w:bottom w:val="nil"/>
              <w:right w:val="nil"/>
            </w:tcBorders>
            <w:shd w:val="clear" w:color="auto" w:fill="auto"/>
            <w:noWrap/>
            <w:vAlign w:val="bottom"/>
            <w:hideMark/>
          </w:tcPr>
          <w:p w14:paraId="462D4154" w14:textId="77777777" w:rsidR="008F3407" w:rsidRPr="008F3407" w:rsidRDefault="008F3407" w:rsidP="008F3407">
            <w:pPr>
              <w:pStyle w:val="ESVTablebody"/>
              <w:rPr>
                <w:lang w:eastAsia="en-AU"/>
              </w:rPr>
            </w:pPr>
            <w:r w:rsidRPr="008F3407">
              <w:rPr>
                <w:lang w:eastAsia="en-AU"/>
              </w:rPr>
              <w:t>1</w:t>
            </w:r>
          </w:p>
        </w:tc>
        <w:tc>
          <w:tcPr>
            <w:tcW w:w="441" w:type="pct"/>
            <w:tcBorders>
              <w:top w:val="nil"/>
              <w:left w:val="nil"/>
              <w:bottom w:val="nil"/>
              <w:right w:val="nil"/>
            </w:tcBorders>
            <w:shd w:val="clear" w:color="auto" w:fill="auto"/>
            <w:noWrap/>
            <w:vAlign w:val="bottom"/>
            <w:hideMark/>
          </w:tcPr>
          <w:p w14:paraId="512FFC58" w14:textId="77777777" w:rsidR="008F3407" w:rsidRPr="008F3407" w:rsidRDefault="008F3407" w:rsidP="008F3407">
            <w:pPr>
              <w:pStyle w:val="ESVTablebody"/>
              <w:rPr>
                <w:lang w:eastAsia="en-AU"/>
              </w:rPr>
            </w:pPr>
            <w:r w:rsidRPr="008F3407">
              <w:rPr>
                <w:lang w:eastAsia="en-AU"/>
              </w:rPr>
              <w:t>3</w:t>
            </w:r>
          </w:p>
        </w:tc>
        <w:tc>
          <w:tcPr>
            <w:tcW w:w="1103" w:type="pct"/>
            <w:tcBorders>
              <w:top w:val="nil"/>
              <w:left w:val="nil"/>
              <w:bottom w:val="nil"/>
              <w:right w:val="nil"/>
            </w:tcBorders>
            <w:shd w:val="clear" w:color="000000" w:fill="C6EFCE"/>
            <w:noWrap/>
            <w:vAlign w:val="bottom"/>
            <w:hideMark/>
          </w:tcPr>
          <w:p w14:paraId="38F0AB17" w14:textId="77777777" w:rsidR="008F3407" w:rsidRPr="008F3407" w:rsidRDefault="008F3407" w:rsidP="008F3407">
            <w:pPr>
              <w:pStyle w:val="ESVTablebody"/>
              <w:rPr>
                <w:color w:val="006100"/>
                <w:lang w:eastAsia="en-AU"/>
              </w:rPr>
            </w:pPr>
            <w:r w:rsidRPr="008F3407">
              <w:rPr>
                <w:color w:val="006100"/>
                <w:lang w:eastAsia="en-AU"/>
              </w:rPr>
              <w:t>Yes</w:t>
            </w:r>
          </w:p>
        </w:tc>
        <w:tc>
          <w:tcPr>
            <w:tcW w:w="1248" w:type="pct"/>
            <w:tcBorders>
              <w:top w:val="nil"/>
              <w:left w:val="nil"/>
              <w:bottom w:val="nil"/>
              <w:right w:val="nil"/>
            </w:tcBorders>
            <w:shd w:val="clear" w:color="000000" w:fill="C6EFCE"/>
            <w:noWrap/>
            <w:vAlign w:val="bottom"/>
            <w:hideMark/>
          </w:tcPr>
          <w:p w14:paraId="03E05326" w14:textId="77777777" w:rsidR="008F3407" w:rsidRPr="008F3407" w:rsidRDefault="008F3407" w:rsidP="008F3407">
            <w:pPr>
              <w:pStyle w:val="ESVTablebody"/>
              <w:rPr>
                <w:color w:val="006100"/>
                <w:lang w:eastAsia="en-AU"/>
              </w:rPr>
            </w:pPr>
            <w:r w:rsidRPr="008F3407">
              <w:rPr>
                <w:color w:val="006100"/>
                <w:lang w:eastAsia="en-AU"/>
              </w:rPr>
              <w:t>Yes</w:t>
            </w:r>
          </w:p>
        </w:tc>
      </w:tr>
      <w:tr w:rsidR="00453DC4" w:rsidRPr="008F3407" w:rsidDel="00453DC4" w14:paraId="6CCCA3A8" w14:textId="77777777" w:rsidTr="00660470">
        <w:trPr>
          <w:trHeight w:val="300"/>
        </w:trPr>
        <w:tc>
          <w:tcPr>
            <w:tcW w:w="1324" w:type="pct"/>
            <w:tcBorders>
              <w:top w:val="nil"/>
              <w:left w:val="nil"/>
              <w:bottom w:val="nil"/>
              <w:right w:val="nil"/>
            </w:tcBorders>
            <w:shd w:val="clear" w:color="auto" w:fill="auto"/>
            <w:noWrap/>
            <w:vAlign w:val="bottom"/>
            <w:hideMark/>
          </w:tcPr>
          <w:p w14:paraId="3E2FDA3B" w14:textId="77777777" w:rsidR="008F3407" w:rsidRPr="00660470" w:rsidDel="00453DC4" w:rsidRDefault="008F3407" w:rsidP="008F3407">
            <w:pPr>
              <w:pStyle w:val="ESVTablebody"/>
              <w:rPr>
                <w:vertAlign w:val="superscript"/>
                <w:lang w:eastAsia="en-AU"/>
              </w:rPr>
            </w:pPr>
            <w:r w:rsidRPr="008F3407" w:rsidDel="00453DC4">
              <w:rPr>
                <w:lang w:eastAsia="en-AU"/>
              </w:rPr>
              <w:t>Kinglake</w:t>
            </w:r>
            <w:r w:rsidR="00B42E1F">
              <w:rPr>
                <w:vertAlign w:val="superscript"/>
                <w:lang w:eastAsia="en-AU"/>
              </w:rPr>
              <w:t>1</w:t>
            </w:r>
          </w:p>
        </w:tc>
        <w:tc>
          <w:tcPr>
            <w:tcW w:w="406" w:type="pct"/>
            <w:tcBorders>
              <w:top w:val="nil"/>
              <w:left w:val="nil"/>
              <w:bottom w:val="nil"/>
              <w:right w:val="nil"/>
            </w:tcBorders>
            <w:shd w:val="clear" w:color="auto" w:fill="auto"/>
            <w:noWrap/>
            <w:vAlign w:val="bottom"/>
            <w:hideMark/>
          </w:tcPr>
          <w:p w14:paraId="4CD3D27D" w14:textId="77777777" w:rsidR="008F3407" w:rsidRPr="008F3407" w:rsidDel="00453DC4" w:rsidRDefault="008F3407" w:rsidP="008F3407">
            <w:pPr>
              <w:pStyle w:val="ESVTablebody"/>
              <w:rPr>
                <w:lang w:eastAsia="en-AU"/>
              </w:rPr>
            </w:pPr>
            <w:r w:rsidRPr="008F3407" w:rsidDel="00453DC4">
              <w:rPr>
                <w:lang w:eastAsia="en-AU"/>
              </w:rPr>
              <w:t>KLK</w:t>
            </w:r>
          </w:p>
        </w:tc>
        <w:tc>
          <w:tcPr>
            <w:tcW w:w="478" w:type="pct"/>
            <w:tcBorders>
              <w:top w:val="nil"/>
              <w:left w:val="nil"/>
              <w:bottom w:val="nil"/>
              <w:right w:val="nil"/>
            </w:tcBorders>
            <w:shd w:val="clear" w:color="auto" w:fill="auto"/>
            <w:noWrap/>
            <w:vAlign w:val="bottom"/>
            <w:hideMark/>
          </w:tcPr>
          <w:p w14:paraId="753EE311" w14:textId="77777777" w:rsidR="008F3407" w:rsidRPr="008F3407" w:rsidDel="00453DC4" w:rsidRDefault="008F3407" w:rsidP="008F3407">
            <w:pPr>
              <w:pStyle w:val="ESVTablebody"/>
              <w:rPr>
                <w:lang w:eastAsia="en-AU"/>
              </w:rPr>
            </w:pPr>
            <w:r w:rsidRPr="008F3407" w:rsidDel="00453DC4">
              <w:rPr>
                <w:lang w:eastAsia="en-AU"/>
              </w:rPr>
              <w:t>1</w:t>
            </w:r>
          </w:p>
        </w:tc>
        <w:tc>
          <w:tcPr>
            <w:tcW w:w="441" w:type="pct"/>
            <w:tcBorders>
              <w:top w:val="nil"/>
              <w:left w:val="nil"/>
              <w:bottom w:val="nil"/>
              <w:right w:val="nil"/>
            </w:tcBorders>
            <w:shd w:val="clear" w:color="auto" w:fill="auto"/>
            <w:noWrap/>
            <w:vAlign w:val="bottom"/>
            <w:hideMark/>
          </w:tcPr>
          <w:p w14:paraId="089A0554" w14:textId="77777777" w:rsidR="008F3407" w:rsidRPr="008F3407" w:rsidDel="00453DC4" w:rsidRDefault="008F3407" w:rsidP="008F3407">
            <w:pPr>
              <w:pStyle w:val="ESVTablebody"/>
              <w:rPr>
                <w:lang w:eastAsia="en-AU"/>
              </w:rPr>
            </w:pPr>
            <w:r w:rsidRPr="008F3407" w:rsidDel="00453DC4">
              <w:rPr>
                <w:lang w:eastAsia="en-AU"/>
              </w:rPr>
              <w:t>4</w:t>
            </w:r>
          </w:p>
        </w:tc>
        <w:tc>
          <w:tcPr>
            <w:tcW w:w="1103" w:type="pct"/>
            <w:tcBorders>
              <w:top w:val="nil"/>
              <w:left w:val="nil"/>
              <w:bottom w:val="nil"/>
              <w:right w:val="nil"/>
            </w:tcBorders>
            <w:shd w:val="clear" w:color="000000" w:fill="C6EFCE"/>
            <w:noWrap/>
            <w:vAlign w:val="bottom"/>
            <w:hideMark/>
          </w:tcPr>
          <w:p w14:paraId="17CB2EA0" w14:textId="77777777" w:rsidR="008F3407" w:rsidRPr="008F3407" w:rsidDel="00453DC4" w:rsidRDefault="008F3407" w:rsidP="008F3407">
            <w:pPr>
              <w:pStyle w:val="ESVTablebody"/>
              <w:rPr>
                <w:color w:val="006100"/>
                <w:lang w:eastAsia="en-AU"/>
              </w:rPr>
            </w:pPr>
            <w:r w:rsidRPr="008F3407" w:rsidDel="00453DC4">
              <w:rPr>
                <w:color w:val="006100"/>
                <w:lang w:eastAsia="en-AU"/>
              </w:rPr>
              <w:t>Yes</w:t>
            </w:r>
          </w:p>
        </w:tc>
        <w:tc>
          <w:tcPr>
            <w:tcW w:w="1248" w:type="pct"/>
            <w:tcBorders>
              <w:top w:val="nil"/>
              <w:left w:val="nil"/>
              <w:bottom w:val="nil"/>
              <w:right w:val="nil"/>
            </w:tcBorders>
            <w:shd w:val="clear" w:color="000000" w:fill="C6EFCE"/>
            <w:noWrap/>
            <w:vAlign w:val="bottom"/>
            <w:hideMark/>
          </w:tcPr>
          <w:p w14:paraId="68C8720F" w14:textId="77777777" w:rsidR="008F3407" w:rsidRPr="008F3407" w:rsidDel="00453DC4" w:rsidRDefault="008F3407" w:rsidP="008F3407">
            <w:pPr>
              <w:pStyle w:val="ESVTablebody"/>
              <w:rPr>
                <w:color w:val="006100"/>
                <w:lang w:eastAsia="en-AU"/>
              </w:rPr>
            </w:pPr>
            <w:r w:rsidRPr="008F3407" w:rsidDel="00453DC4">
              <w:rPr>
                <w:color w:val="006100"/>
                <w:lang w:eastAsia="en-AU"/>
              </w:rPr>
              <w:t>Yes</w:t>
            </w:r>
          </w:p>
        </w:tc>
      </w:tr>
      <w:tr w:rsidR="00453DC4" w:rsidRPr="008F3407" w14:paraId="11FF4B52" w14:textId="77777777" w:rsidTr="00660470">
        <w:trPr>
          <w:trHeight w:val="300"/>
        </w:trPr>
        <w:tc>
          <w:tcPr>
            <w:tcW w:w="1324" w:type="pct"/>
            <w:tcBorders>
              <w:top w:val="nil"/>
              <w:left w:val="nil"/>
              <w:bottom w:val="nil"/>
              <w:right w:val="nil"/>
            </w:tcBorders>
            <w:shd w:val="clear" w:color="auto" w:fill="auto"/>
            <w:noWrap/>
            <w:vAlign w:val="bottom"/>
            <w:hideMark/>
          </w:tcPr>
          <w:p w14:paraId="01AF47B1" w14:textId="77777777" w:rsidR="008F3407" w:rsidRPr="008F3407" w:rsidRDefault="008F3407" w:rsidP="008F3407">
            <w:pPr>
              <w:pStyle w:val="ESVTablebody"/>
              <w:rPr>
                <w:lang w:eastAsia="en-AU"/>
              </w:rPr>
            </w:pPr>
            <w:r w:rsidRPr="008F3407">
              <w:rPr>
                <w:lang w:eastAsia="en-AU"/>
              </w:rPr>
              <w:t>Myrtleford</w:t>
            </w:r>
          </w:p>
        </w:tc>
        <w:tc>
          <w:tcPr>
            <w:tcW w:w="406" w:type="pct"/>
            <w:tcBorders>
              <w:top w:val="nil"/>
              <w:left w:val="nil"/>
              <w:bottom w:val="nil"/>
              <w:right w:val="nil"/>
            </w:tcBorders>
            <w:shd w:val="clear" w:color="auto" w:fill="auto"/>
            <w:noWrap/>
            <w:vAlign w:val="bottom"/>
            <w:hideMark/>
          </w:tcPr>
          <w:p w14:paraId="3C5DF4E4" w14:textId="77777777" w:rsidR="008F3407" w:rsidRPr="008F3407" w:rsidRDefault="008F3407" w:rsidP="008F3407">
            <w:pPr>
              <w:pStyle w:val="ESVTablebody"/>
              <w:rPr>
                <w:lang w:eastAsia="en-AU"/>
              </w:rPr>
            </w:pPr>
            <w:r w:rsidRPr="008F3407">
              <w:rPr>
                <w:lang w:eastAsia="en-AU"/>
              </w:rPr>
              <w:t>MYT</w:t>
            </w:r>
          </w:p>
        </w:tc>
        <w:tc>
          <w:tcPr>
            <w:tcW w:w="478" w:type="pct"/>
            <w:tcBorders>
              <w:top w:val="nil"/>
              <w:left w:val="nil"/>
              <w:bottom w:val="nil"/>
              <w:right w:val="nil"/>
            </w:tcBorders>
            <w:shd w:val="clear" w:color="auto" w:fill="auto"/>
            <w:noWrap/>
            <w:vAlign w:val="bottom"/>
            <w:hideMark/>
          </w:tcPr>
          <w:p w14:paraId="7B88B362" w14:textId="77777777" w:rsidR="008F3407" w:rsidRPr="008F3407" w:rsidRDefault="008F3407" w:rsidP="008F3407">
            <w:pPr>
              <w:pStyle w:val="ESVTablebody"/>
              <w:rPr>
                <w:lang w:eastAsia="en-AU"/>
              </w:rPr>
            </w:pPr>
            <w:r w:rsidRPr="008F3407">
              <w:rPr>
                <w:lang w:eastAsia="en-AU"/>
              </w:rPr>
              <w:t>1</w:t>
            </w:r>
          </w:p>
        </w:tc>
        <w:tc>
          <w:tcPr>
            <w:tcW w:w="441" w:type="pct"/>
            <w:tcBorders>
              <w:top w:val="nil"/>
              <w:left w:val="nil"/>
              <w:bottom w:val="nil"/>
              <w:right w:val="nil"/>
            </w:tcBorders>
            <w:shd w:val="clear" w:color="auto" w:fill="auto"/>
            <w:noWrap/>
            <w:vAlign w:val="bottom"/>
            <w:hideMark/>
          </w:tcPr>
          <w:p w14:paraId="46569E4D" w14:textId="77777777" w:rsidR="008F3407" w:rsidRPr="008F3407" w:rsidRDefault="008F3407" w:rsidP="008F3407">
            <w:pPr>
              <w:pStyle w:val="ESVTablebody"/>
              <w:rPr>
                <w:lang w:eastAsia="en-AU"/>
              </w:rPr>
            </w:pPr>
            <w:r w:rsidRPr="008F3407">
              <w:rPr>
                <w:lang w:eastAsia="en-AU"/>
              </w:rPr>
              <w:t>3</w:t>
            </w:r>
          </w:p>
        </w:tc>
        <w:tc>
          <w:tcPr>
            <w:tcW w:w="1103" w:type="pct"/>
            <w:tcBorders>
              <w:top w:val="nil"/>
              <w:left w:val="nil"/>
              <w:bottom w:val="nil"/>
              <w:right w:val="nil"/>
            </w:tcBorders>
            <w:shd w:val="clear" w:color="000000" w:fill="C6EFCE"/>
            <w:noWrap/>
            <w:vAlign w:val="bottom"/>
            <w:hideMark/>
          </w:tcPr>
          <w:p w14:paraId="0403D8CD" w14:textId="77777777" w:rsidR="008F3407" w:rsidRPr="008F3407" w:rsidRDefault="008F3407" w:rsidP="008F3407">
            <w:pPr>
              <w:pStyle w:val="ESVTablebody"/>
              <w:rPr>
                <w:color w:val="006100"/>
                <w:lang w:eastAsia="en-AU"/>
              </w:rPr>
            </w:pPr>
            <w:r w:rsidRPr="008F3407">
              <w:rPr>
                <w:color w:val="006100"/>
                <w:lang w:eastAsia="en-AU"/>
              </w:rPr>
              <w:t>Yes</w:t>
            </w:r>
          </w:p>
        </w:tc>
        <w:tc>
          <w:tcPr>
            <w:tcW w:w="1248" w:type="pct"/>
            <w:tcBorders>
              <w:top w:val="nil"/>
              <w:left w:val="nil"/>
              <w:bottom w:val="nil"/>
              <w:right w:val="nil"/>
            </w:tcBorders>
            <w:shd w:val="clear" w:color="000000" w:fill="C6EFCE"/>
            <w:noWrap/>
            <w:vAlign w:val="bottom"/>
            <w:hideMark/>
          </w:tcPr>
          <w:p w14:paraId="22A0E85F" w14:textId="77777777" w:rsidR="008F3407" w:rsidRPr="008F3407" w:rsidRDefault="008F3407" w:rsidP="008F3407">
            <w:pPr>
              <w:pStyle w:val="ESVTablebody"/>
              <w:rPr>
                <w:color w:val="006100"/>
                <w:lang w:eastAsia="en-AU"/>
              </w:rPr>
            </w:pPr>
            <w:r w:rsidRPr="008F3407">
              <w:rPr>
                <w:color w:val="006100"/>
                <w:lang w:eastAsia="en-AU"/>
              </w:rPr>
              <w:t>Yes</w:t>
            </w:r>
          </w:p>
        </w:tc>
      </w:tr>
      <w:tr w:rsidR="00453DC4" w:rsidRPr="008F3407" w14:paraId="3F731E52" w14:textId="77777777" w:rsidTr="00660470">
        <w:trPr>
          <w:trHeight w:val="300"/>
        </w:trPr>
        <w:tc>
          <w:tcPr>
            <w:tcW w:w="1324" w:type="pct"/>
            <w:tcBorders>
              <w:top w:val="nil"/>
              <w:left w:val="nil"/>
              <w:bottom w:val="nil"/>
              <w:right w:val="nil"/>
            </w:tcBorders>
            <w:shd w:val="clear" w:color="auto" w:fill="auto"/>
            <w:noWrap/>
            <w:vAlign w:val="bottom"/>
            <w:hideMark/>
          </w:tcPr>
          <w:p w14:paraId="09F95538" w14:textId="77777777" w:rsidR="008F3407" w:rsidRPr="008F3407" w:rsidRDefault="008F3407" w:rsidP="008F3407">
            <w:pPr>
              <w:pStyle w:val="ESVTablebody"/>
              <w:rPr>
                <w:lang w:eastAsia="en-AU"/>
              </w:rPr>
            </w:pPr>
            <w:r w:rsidRPr="008F3407">
              <w:rPr>
                <w:lang w:eastAsia="en-AU"/>
              </w:rPr>
              <w:t>Rubicon</w:t>
            </w:r>
          </w:p>
        </w:tc>
        <w:tc>
          <w:tcPr>
            <w:tcW w:w="406" w:type="pct"/>
            <w:tcBorders>
              <w:top w:val="nil"/>
              <w:left w:val="nil"/>
              <w:bottom w:val="nil"/>
              <w:right w:val="nil"/>
            </w:tcBorders>
            <w:shd w:val="clear" w:color="auto" w:fill="auto"/>
            <w:noWrap/>
            <w:vAlign w:val="bottom"/>
            <w:hideMark/>
          </w:tcPr>
          <w:p w14:paraId="3D47034F" w14:textId="77777777" w:rsidR="008F3407" w:rsidRPr="008F3407" w:rsidRDefault="008F3407" w:rsidP="008F3407">
            <w:pPr>
              <w:pStyle w:val="ESVTablebody"/>
              <w:rPr>
                <w:lang w:eastAsia="en-AU"/>
              </w:rPr>
            </w:pPr>
            <w:r w:rsidRPr="008F3407">
              <w:rPr>
                <w:lang w:eastAsia="en-AU"/>
              </w:rPr>
              <w:t>RUBA</w:t>
            </w:r>
          </w:p>
        </w:tc>
        <w:tc>
          <w:tcPr>
            <w:tcW w:w="478" w:type="pct"/>
            <w:tcBorders>
              <w:top w:val="nil"/>
              <w:left w:val="nil"/>
              <w:bottom w:val="nil"/>
              <w:right w:val="nil"/>
            </w:tcBorders>
            <w:shd w:val="clear" w:color="auto" w:fill="auto"/>
            <w:noWrap/>
            <w:vAlign w:val="bottom"/>
            <w:hideMark/>
          </w:tcPr>
          <w:p w14:paraId="6856CFDA" w14:textId="77777777" w:rsidR="008F3407" w:rsidRPr="008F3407" w:rsidRDefault="008F3407" w:rsidP="008F3407">
            <w:pPr>
              <w:pStyle w:val="ESVTablebody"/>
              <w:rPr>
                <w:lang w:eastAsia="en-AU"/>
              </w:rPr>
            </w:pPr>
            <w:r w:rsidRPr="008F3407">
              <w:rPr>
                <w:lang w:eastAsia="en-AU"/>
              </w:rPr>
              <w:t>1</w:t>
            </w:r>
          </w:p>
        </w:tc>
        <w:tc>
          <w:tcPr>
            <w:tcW w:w="441" w:type="pct"/>
            <w:tcBorders>
              <w:top w:val="nil"/>
              <w:left w:val="nil"/>
              <w:bottom w:val="nil"/>
              <w:right w:val="nil"/>
            </w:tcBorders>
            <w:shd w:val="clear" w:color="auto" w:fill="auto"/>
            <w:noWrap/>
            <w:vAlign w:val="bottom"/>
            <w:hideMark/>
          </w:tcPr>
          <w:p w14:paraId="6570DC73" w14:textId="77777777" w:rsidR="008F3407" w:rsidRPr="008F3407" w:rsidRDefault="008F3407" w:rsidP="008F3407">
            <w:pPr>
              <w:pStyle w:val="ESVTablebody"/>
              <w:rPr>
                <w:lang w:eastAsia="en-AU"/>
              </w:rPr>
            </w:pPr>
            <w:r w:rsidRPr="008F3407">
              <w:rPr>
                <w:lang w:eastAsia="en-AU"/>
              </w:rPr>
              <w:t>4</w:t>
            </w:r>
          </w:p>
        </w:tc>
        <w:tc>
          <w:tcPr>
            <w:tcW w:w="1103" w:type="pct"/>
            <w:tcBorders>
              <w:top w:val="nil"/>
              <w:left w:val="nil"/>
              <w:bottom w:val="nil"/>
              <w:right w:val="nil"/>
            </w:tcBorders>
            <w:shd w:val="clear" w:color="000000" w:fill="C6EFCE"/>
            <w:noWrap/>
            <w:vAlign w:val="bottom"/>
            <w:hideMark/>
          </w:tcPr>
          <w:p w14:paraId="35C60417" w14:textId="77777777" w:rsidR="008F3407" w:rsidRPr="008F3407" w:rsidRDefault="008F3407" w:rsidP="008F3407">
            <w:pPr>
              <w:pStyle w:val="ESVTablebody"/>
              <w:rPr>
                <w:color w:val="006100"/>
                <w:lang w:eastAsia="en-AU"/>
              </w:rPr>
            </w:pPr>
            <w:r w:rsidRPr="008F3407">
              <w:rPr>
                <w:color w:val="006100"/>
                <w:lang w:eastAsia="en-AU"/>
              </w:rPr>
              <w:t>Yes</w:t>
            </w:r>
          </w:p>
        </w:tc>
        <w:tc>
          <w:tcPr>
            <w:tcW w:w="1248" w:type="pct"/>
            <w:tcBorders>
              <w:top w:val="nil"/>
              <w:left w:val="nil"/>
              <w:bottom w:val="nil"/>
              <w:right w:val="nil"/>
            </w:tcBorders>
            <w:shd w:val="clear" w:color="000000" w:fill="C6EFCE"/>
            <w:noWrap/>
            <w:vAlign w:val="bottom"/>
            <w:hideMark/>
          </w:tcPr>
          <w:p w14:paraId="0897B7CE" w14:textId="77777777" w:rsidR="008F3407" w:rsidRPr="008F3407" w:rsidRDefault="008F3407" w:rsidP="008F3407">
            <w:pPr>
              <w:pStyle w:val="ESVTablebody"/>
              <w:rPr>
                <w:color w:val="006100"/>
                <w:lang w:eastAsia="en-AU"/>
              </w:rPr>
            </w:pPr>
            <w:r w:rsidRPr="008F3407">
              <w:rPr>
                <w:color w:val="006100"/>
                <w:lang w:eastAsia="en-AU"/>
              </w:rPr>
              <w:t>Yes</w:t>
            </w:r>
          </w:p>
        </w:tc>
      </w:tr>
      <w:tr w:rsidR="00453DC4" w:rsidRPr="008F3407" w14:paraId="16624A84" w14:textId="77777777" w:rsidTr="00660470">
        <w:trPr>
          <w:trHeight w:val="300"/>
        </w:trPr>
        <w:tc>
          <w:tcPr>
            <w:tcW w:w="1324" w:type="pct"/>
            <w:tcBorders>
              <w:top w:val="nil"/>
              <w:left w:val="nil"/>
              <w:bottom w:val="nil"/>
              <w:right w:val="nil"/>
            </w:tcBorders>
            <w:shd w:val="clear" w:color="auto" w:fill="auto"/>
            <w:noWrap/>
            <w:vAlign w:val="bottom"/>
            <w:hideMark/>
          </w:tcPr>
          <w:p w14:paraId="3E5F0A61" w14:textId="77777777" w:rsidR="008F3407" w:rsidRPr="008F3407" w:rsidRDefault="008F3407" w:rsidP="008F3407">
            <w:pPr>
              <w:pStyle w:val="ESVTablebody"/>
              <w:rPr>
                <w:lang w:eastAsia="en-AU"/>
              </w:rPr>
            </w:pPr>
            <w:r w:rsidRPr="008F3407">
              <w:rPr>
                <w:lang w:eastAsia="en-AU"/>
              </w:rPr>
              <w:t>Seymour</w:t>
            </w:r>
          </w:p>
        </w:tc>
        <w:tc>
          <w:tcPr>
            <w:tcW w:w="406" w:type="pct"/>
            <w:tcBorders>
              <w:top w:val="nil"/>
              <w:left w:val="nil"/>
              <w:bottom w:val="nil"/>
              <w:right w:val="nil"/>
            </w:tcBorders>
            <w:shd w:val="clear" w:color="auto" w:fill="auto"/>
            <w:noWrap/>
            <w:vAlign w:val="bottom"/>
            <w:hideMark/>
          </w:tcPr>
          <w:p w14:paraId="5F1DF5DE" w14:textId="77777777" w:rsidR="008F3407" w:rsidRPr="008F3407" w:rsidRDefault="008F3407" w:rsidP="008F3407">
            <w:pPr>
              <w:pStyle w:val="ESVTablebody"/>
              <w:rPr>
                <w:lang w:eastAsia="en-AU"/>
              </w:rPr>
            </w:pPr>
            <w:r w:rsidRPr="008F3407">
              <w:rPr>
                <w:lang w:eastAsia="en-AU"/>
              </w:rPr>
              <w:t>SMR</w:t>
            </w:r>
          </w:p>
        </w:tc>
        <w:tc>
          <w:tcPr>
            <w:tcW w:w="478" w:type="pct"/>
            <w:tcBorders>
              <w:top w:val="nil"/>
              <w:left w:val="nil"/>
              <w:bottom w:val="nil"/>
              <w:right w:val="nil"/>
            </w:tcBorders>
            <w:shd w:val="clear" w:color="auto" w:fill="auto"/>
            <w:noWrap/>
            <w:vAlign w:val="bottom"/>
            <w:hideMark/>
          </w:tcPr>
          <w:p w14:paraId="1B6E1C31" w14:textId="77777777" w:rsidR="008F3407" w:rsidRPr="008F3407" w:rsidRDefault="008F3407" w:rsidP="008F3407">
            <w:pPr>
              <w:pStyle w:val="ESVTablebody"/>
              <w:rPr>
                <w:lang w:eastAsia="en-AU"/>
              </w:rPr>
            </w:pPr>
            <w:r w:rsidRPr="008F3407">
              <w:rPr>
                <w:lang w:eastAsia="en-AU"/>
              </w:rPr>
              <w:t>1</w:t>
            </w:r>
          </w:p>
        </w:tc>
        <w:tc>
          <w:tcPr>
            <w:tcW w:w="441" w:type="pct"/>
            <w:tcBorders>
              <w:top w:val="nil"/>
              <w:left w:val="nil"/>
              <w:bottom w:val="nil"/>
              <w:right w:val="nil"/>
            </w:tcBorders>
            <w:shd w:val="clear" w:color="auto" w:fill="auto"/>
            <w:noWrap/>
            <w:vAlign w:val="bottom"/>
            <w:hideMark/>
          </w:tcPr>
          <w:p w14:paraId="6A3C55C5" w14:textId="77777777" w:rsidR="008F3407" w:rsidRPr="008F3407" w:rsidRDefault="008F3407" w:rsidP="008F3407">
            <w:pPr>
              <w:pStyle w:val="ESVTablebody"/>
              <w:rPr>
                <w:lang w:eastAsia="en-AU"/>
              </w:rPr>
            </w:pPr>
            <w:r w:rsidRPr="008F3407">
              <w:rPr>
                <w:lang w:eastAsia="en-AU"/>
              </w:rPr>
              <w:t>5</w:t>
            </w:r>
          </w:p>
        </w:tc>
        <w:tc>
          <w:tcPr>
            <w:tcW w:w="1103" w:type="pct"/>
            <w:tcBorders>
              <w:top w:val="nil"/>
              <w:left w:val="nil"/>
              <w:bottom w:val="nil"/>
              <w:right w:val="nil"/>
            </w:tcBorders>
            <w:shd w:val="clear" w:color="000000" w:fill="C6EFCE"/>
            <w:noWrap/>
            <w:vAlign w:val="bottom"/>
            <w:hideMark/>
          </w:tcPr>
          <w:p w14:paraId="27B35BD5" w14:textId="77777777" w:rsidR="008F3407" w:rsidRPr="008F3407" w:rsidRDefault="008F3407" w:rsidP="008F3407">
            <w:pPr>
              <w:pStyle w:val="ESVTablebody"/>
              <w:rPr>
                <w:color w:val="006100"/>
                <w:lang w:eastAsia="en-AU"/>
              </w:rPr>
            </w:pPr>
            <w:r w:rsidRPr="008F3407">
              <w:rPr>
                <w:color w:val="006100"/>
                <w:lang w:eastAsia="en-AU"/>
              </w:rPr>
              <w:t>Yes</w:t>
            </w:r>
          </w:p>
        </w:tc>
        <w:tc>
          <w:tcPr>
            <w:tcW w:w="1248" w:type="pct"/>
            <w:tcBorders>
              <w:top w:val="nil"/>
              <w:left w:val="nil"/>
              <w:bottom w:val="nil"/>
              <w:right w:val="nil"/>
            </w:tcBorders>
            <w:shd w:val="clear" w:color="000000" w:fill="C6EFCE"/>
            <w:noWrap/>
            <w:vAlign w:val="bottom"/>
            <w:hideMark/>
          </w:tcPr>
          <w:p w14:paraId="26D6B81F" w14:textId="77777777" w:rsidR="008F3407" w:rsidRPr="008F3407" w:rsidRDefault="008F3407" w:rsidP="008F3407">
            <w:pPr>
              <w:pStyle w:val="ESVTablebody"/>
              <w:rPr>
                <w:color w:val="006100"/>
                <w:lang w:eastAsia="en-AU"/>
              </w:rPr>
            </w:pPr>
            <w:r w:rsidRPr="008F3407">
              <w:rPr>
                <w:color w:val="006100"/>
                <w:lang w:eastAsia="en-AU"/>
              </w:rPr>
              <w:t>Yes</w:t>
            </w:r>
          </w:p>
        </w:tc>
      </w:tr>
      <w:tr w:rsidR="00453DC4" w:rsidRPr="008F3407" w14:paraId="6BE22737" w14:textId="77777777" w:rsidTr="00660470">
        <w:trPr>
          <w:trHeight w:val="300"/>
        </w:trPr>
        <w:tc>
          <w:tcPr>
            <w:tcW w:w="1324" w:type="pct"/>
            <w:tcBorders>
              <w:top w:val="nil"/>
              <w:left w:val="nil"/>
              <w:right w:val="nil"/>
            </w:tcBorders>
            <w:shd w:val="clear" w:color="auto" w:fill="auto"/>
            <w:noWrap/>
            <w:vAlign w:val="bottom"/>
            <w:hideMark/>
          </w:tcPr>
          <w:p w14:paraId="53D167D8" w14:textId="77777777" w:rsidR="008F3407" w:rsidRPr="008F3407" w:rsidRDefault="008F3407" w:rsidP="008F3407">
            <w:pPr>
              <w:pStyle w:val="ESVTablebody"/>
              <w:rPr>
                <w:lang w:eastAsia="en-AU"/>
              </w:rPr>
            </w:pPr>
            <w:r w:rsidRPr="008F3407">
              <w:rPr>
                <w:lang w:eastAsia="en-AU"/>
              </w:rPr>
              <w:t>Wangaratta</w:t>
            </w:r>
          </w:p>
        </w:tc>
        <w:tc>
          <w:tcPr>
            <w:tcW w:w="406" w:type="pct"/>
            <w:tcBorders>
              <w:top w:val="nil"/>
              <w:left w:val="nil"/>
              <w:right w:val="nil"/>
            </w:tcBorders>
            <w:shd w:val="clear" w:color="auto" w:fill="auto"/>
            <w:noWrap/>
            <w:vAlign w:val="bottom"/>
            <w:hideMark/>
          </w:tcPr>
          <w:p w14:paraId="2389A4A9" w14:textId="77777777" w:rsidR="008F3407" w:rsidRPr="008F3407" w:rsidRDefault="008F3407" w:rsidP="008F3407">
            <w:pPr>
              <w:pStyle w:val="ESVTablebody"/>
              <w:rPr>
                <w:lang w:eastAsia="en-AU"/>
              </w:rPr>
            </w:pPr>
            <w:r w:rsidRPr="008F3407">
              <w:rPr>
                <w:lang w:eastAsia="en-AU"/>
              </w:rPr>
              <w:t>WN</w:t>
            </w:r>
          </w:p>
        </w:tc>
        <w:tc>
          <w:tcPr>
            <w:tcW w:w="478" w:type="pct"/>
            <w:tcBorders>
              <w:top w:val="nil"/>
              <w:left w:val="nil"/>
              <w:right w:val="nil"/>
            </w:tcBorders>
            <w:shd w:val="clear" w:color="auto" w:fill="auto"/>
            <w:noWrap/>
            <w:vAlign w:val="bottom"/>
            <w:hideMark/>
          </w:tcPr>
          <w:p w14:paraId="727E9D0A" w14:textId="77777777" w:rsidR="008F3407" w:rsidRPr="008F3407" w:rsidRDefault="008F3407" w:rsidP="008F3407">
            <w:pPr>
              <w:pStyle w:val="ESVTablebody"/>
              <w:rPr>
                <w:lang w:eastAsia="en-AU"/>
              </w:rPr>
            </w:pPr>
            <w:r w:rsidRPr="008F3407">
              <w:rPr>
                <w:lang w:eastAsia="en-AU"/>
              </w:rPr>
              <w:t>1</w:t>
            </w:r>
          </w:p>
        </w:tc>
        <w:tc>
          <w:tcPr>
            <w:tcW w:w="441" w:type="pct"/>
            <w:tcBorders>
              <w:top w:val="nil"/>
              <w:left w:val="nil"/>
              <w:right w:val="nil"/>
            </w:tcBorders>
            <w:shd w:val="clear" w:color="auto" w:fill="auto"/>
            <w:noWrap/>
            <w:vAlign w:val="bottom"/>
            <w:hideMark/>
          </w:tcPr>
          <w:p w14:paraId="7E5B8AEE" w14:textId="77777777" w:rsidR="008F3407" w:rsidRPr="008F3407" w:rsidRDefault="008F3407" w:rsidP="008F3407">
            <w:pPr>
              <w:pStyle w:val="ESVTablebody"/>
              <w:rPr>
                <w:lang w:eastAsia="en-AU"/>
              </w:rPr>
            </w:pPr>
            <w:r w:rsidRPr="008F3407">
              <w:rPr>
                <w:lang w:eastAsia="en-AU"/>
              </w:rPr>
              <w:t>5</w:t>
            </w:r>
          </w:p>
        </w:tc>
        <w:tc>
          <w:tcPr>
            <w:tcW w:w="1103" w:type="pct"/>
            <w:tcBorders>
              <w:top w:val="nil"/>
              <w:left w:val="nil"/>
              <w:right w:val="nil"/>
            </w:tcBorders>
            <w:shd w:val="clear" w:color="000000" w:fill="C6EFCE"/>
            <w:noWrap/>
            <w:vAlign w:val="bottom"/>
            <w:hideMark/>
          </w:tcPr>
          <w:p w14:paraId="18EDC7DF" w14:textId="77777777" w:rsidR="008F3407" w:rsidRPr="008F3407" w:rsidRDefault="008F3407" w:rsidP="008F3407">
            <w:pPr>
              <w:pStyle w:val="ESVTablebody"/>
              <w:rPr>
                <w:color w:val="006100"/>
                <w:lang w:eastAsia="en-AU"/>
              </w:rPr>
            </w:pPr>
            <w:r w:rsidRPr="008F3407">
              <w:rPr>
                <w:color w:val="006100"/>
                <w:lang w:eastAsia="en-AU"/>
              </w:rPr>
              <w:t>Yes</w:t>
            </w:r>
          </w:p>
        </w:tc>
        <w:tc>
          <w:tcPr>
            <w:tcW w:w="1248" w:type="pct"/>
            <w:tcBorders>
              <w:top w:val="nil"/>
              <w:left w:val="nil"/>
              <w:right w:val="nil"/>
            </w:tcBorders>
            <w:shd w:val="clear" w:color="000000" w:fill="C6EFCE"/>
            <w:noWrap/>
            <w:vAlign w:val="bottom"/>
            <w:hideMark/>
          </w:tcPr>
          <w:p w14:paraId="75196FC7" w14:textId="77777777" w:rsidR="008F3407" w:rsidRPr="008F3407" w:rsidRDefault="008F3407" w:rsidP="008F3407">
            <w:pPr>
              <w:pStyle w:val="ESVTablebody"/>
              <w:rPr>
                <w:color w:val="006100"/>
                <w:lang w:eastAsia="en-AU"/>
              </w:rPr>
            </w:pPr>
            <w:r w:rsidRPr="008F3407">
              <w:rPr>
                <w:color w:val="006100"/>
                <w:lang w:eastAsia="en-AU"/>
              </w:rPr>
              <w:t>Yes</w:t>
            </w:r>
          </w:p>
        </w:tc>
      </w:tr>
      <w:tr w:rsidR="00453DC4" w:rsidRPr="008F3407" w14:paraId="1087BE46" w14:textId="77777777" w:rsidTr="00660470">
        <w:trPr>
          <w:trHeight w:val="300"/>
        </w:trPr>
        <w:tc>
          <w:tcPr>
            <w:tcW w:w="1324" w:type="pct"/>
            <w:tcBorders>
              <w:left w:val="nil"/>
              <w:bottom w:val="single" w:sz="4" w:space="0" w:color="auto"/>
              <w:right w:val="nil"/>
            </w:tcBorders>
            <w:shd w:val="clear" w:color="auto" w:fill="auto"/>
            <w:noWrap/>
            <w:vAlign w:val="bottom"/>
            <w:hideMark/>
          </w:tcPr>
          <w:p w14:paraId="5E0767FB" w14:textId="77777777" w:rsidR="008F3407" w:rsidRPr="00660470" w:rsidRDefault="008F3407" w:rsidP="008F3407">
            <w:pPr>
              <w:pStyle w:val="ESVTablebody"/>
              <w:rPr>
                <w:vertAlign w:val="superscript"/>
                <w:lang w:eastAsia="en-AU"/>
              </w:rPr>
            </w:pPr>
            <w:r w:rsidRPr="008F3407">
              <w:rPr>
                <w:lang w:eastAsia="en-AU"/>
              </w:rPr>
              <w:t>Woori Yallock</w:t>
            </w:r>
            <w:r w:rsidR="00B42E1F">
              <w:rPr>
                <w:vertAlign w:val="superscript"/>
                <w:lang w:eastAsia="en-AU"/>
              </w:rPr>
              <w:t>1</w:t>
            </w:r>
          </w:p>
        </w:tc>
        <w:tc>
          <w:tcPr>
            <w:tcW w:w="406" w:type="pct"/>
            <w:tcBorders>
              <w:left w:val="nil"/>
              <w:bottom w:val="single" w:sz="4" w:space="0" w:color="auto"/>
              <w:right w:val="nil"/>
            </w:tcBorders>
            <w:shd w:val="clear" w:color="auto" w:fill="auto"/>
            <w:noWrap/>
            <w:vAlign w:val="bottom"/>
            <w:hideMark/>
          </w:tcPr>
          <w:p w14:paraId="5D2D03E4" w14:textId="77777777" w:rsidR="008F3407" w:rsidRPr="008F3407" w:rsidRDefault="008F3407" w:rsidP="008F3407">
            <w:pPr>
              <w:pStyle w:val="ESVTablebody"/>
              <w:rPr>
                <w:lang w:eastAsia="en-AU"/>
              </w:rPr>
            </w:pPr>
            <w:r w:rsidRPr="008F3407">
              <w:rPr>
                <w:lang w:eastAsia="en-AU"/>
              </w:rPr>
              <w:t>WYK</w:t>
            </w:r>
          </w:p>
        </w:tc>
        <w:tc>
          <w:tcPr>
            <w:tcW w:w="478" w:type="pct"/>
            <w:tcBorders>
              <w:left w:val="nil"/>
              <w:bottom w:val="single" w:sz="4" w:space="0" w:color="auto"/>
              <w:right w:val="nil"/>
            </w:tcBorders>
            <w:shd w:val="clear" w:color="auto" w:fill="auto"/>
            <w:noWrap/>
            <w:vAlign w:val="bottom"/>
            <w:hideMark/>
          </w:tcPr>
          <w:p w14:paraId="22FB1766" w14:textId="77777777" w:rsidR="008F3407" w:rsidRPr="008F3407" w:rsidRDefault="008F3407" w:rsidP="008F3407">
            <w:pPr>
              <w:pStyle w:val="ESVTablebody"/>
              <w:rPr>
                <w:lang w:eastAsia="en-AU"/>
              </w:rPr>
            </w:pPr>
            <w:r w:rsidRPr="008F3407">
              <w:rPr>
                <w:lang w:eastAsia="en-AU"/>
              </w:rPr>
              <w:t>1</w:t>
            </w:r>
          </w:p>
        </w:tc>
        <w:tc>
          <w:tcPr>
            <w:tcW w:w="441" w:type="pct"/>
            <w:tcBorders>
              <w:left w:val="nil"/>
              <w:bottom w:val="single" w:sz="4" w:space="0" w:color="auto"/>
              <w:right w:val="nil"/>
            </w:tcBorders>
            <w:shd w:val="clear" w:color="auto" w:fill="auto"/>
            <w:noWrap/>
            <w:vAlign w:val="bottom"/>
            <w:hideMark/>
          </w:tcPr>
          <w:p w14:paraId="15BD682B" w14:textId="77777777" w:rsidR="008F3407" w:rsidRPr="008F3407" w:rsidRDefault="008F3407" w:rsidP="008F3407">
            <w:pPr>
              <w:pStyle w:val="ESVTablebody"/>
              <w:rPr>
                <w:lang w:eastAsia="en-AU"/>
              </w:rPr>
            </w:pPr>
            <w:r w:rsidRPr="008F3407">
              <w:rPr>
                <w:lang w:eastAsia="en-AU"/>
              </w:rPr>
              <w:t>5</w:t>
            </w:r>
          </w:p>
        </w:tc>
        <w:tc>
          <w:tcPr>
            <w:tcW w:w="1103" w:type="pct"/>
            <w:tcBorders>
              <w:left w:val="nil"/>
              <w:bottom w:val="single" w:sz="4" w:space="0" w:color="auto"/>
              <w:right w:val="nil"/>
            </w:tcBorders>
            <w:shd w:val="clear" w:color="000000" w:fill="C6EFCE"/>
            <w:noWrap/>
            <w:vAlign w:val="bottom"/>
            <w:hideMark/>
          </w:tcPr>
          <w:p w14:paraId="1E51F15F" w14:textId="77777777" w:rsidR="008F3407" w:rsidRPr="008F3407" w:rsidRDefault="008F3407" w:rsidP="008F3407">
            <w:pPr>
              <w:pStyle w:val="ESVTablebody"/>
              <w:rPr>
                <w:color w:val="006100"/>
                <w:lang w:eastAsia="en-AU"/>
              </w:rPr>
            </w:pPr>
            <w:r w:rsidRPr="008F3407">
              <w:rPr>
                <w:color w:val="006100"/>
                <w:lang w:eastAsia="en-AU"/>
              </w:rPr>
              <w:t>Yes</w:t>
            </w:r>
          </w:p>
        </w:tc>
        <w:tc>
          <w:tcPr>
            <w:tcW w:w="1248" w:type="pct"/>
            <w:tcBorders>
              <w:left w:val="nil"/>
              <w:bottom w:val="single" w:sz="4" w:space="0" w:color="auto"/>
              <w:right w:val="nil"/>
            </w:tcBorders>
            <w:shd w:val="clear" w:color="000000" w:fill="C6EFCE"/>
            <w:noWrap/>
            <w:vAlign w:val="bottom"/>
            <w:hideMark/>
          </w:tcPr>
          <w:p w14:paraId="48A58262" w14:textId="77777777" w:rsidR="008F3407" w:rsidRPr="008F3407" w:rsidRDefault="008F3407" w:rsidP="008F3407">
            <w:pPr>
              <w:pStyle w:val="ESVTablebody"/>
              <w:rPr>
                <w:color w:val="006100"/>
                <w:lang w:eastAsia="en-AU"/>
              </w:rPr>
            </w:pPr>
            <w:r w:rsidRPr="008F3407">
              <w:rPr>
                <w:color w:val="006100"/>
                <w:lang w:eastAsia="en-AU"/>
              </w:rPr>
              <w:t>Yes</w:t>
            </w:r>
          </w:p>
        </w:tc>
      </w:tr>
      <w:tr w:rsidR="00453DC4" w:rsidRPr="00AD259D" w14:paraId="00FE23A1" w14:textId="77777777" w:rsidTr="00660470">
        <w:trPr>
          <w:trHeight w:val="300"/>
        </w:trPr>
        <w:tc>
          <w:tcPr>
            <w:tcW w:w="1324" w:type="pct"/>
            <w:tcBorders>
              <w:top w:val="nil"/>
              <w:left w:val="nil"/>
              <w:bottom w:val="single" w:sz="4" w:space="0" w:color="auto"/>
              <w:right w:val="nil"/>
            </w:tcBorders>
            <w:shd w:val="clear" w:color="auto" w:fill="auto"/>
            <w:noWrap/>
            <w:vAlign w:val="bottom"/>
            <w:hideMark/>
          </w:tcPr>
          <w:p w14:paraId="429B40A5" w14:textId="216D8924" w:rsidR="008F3407" w:rsidRPr="00AD259D" w:rsidRDefault="008F3407" w:rsidP="00BA4293">
            <w:pPr>
              <w:pStyle w:val="ESVTablebody"/>
              <w:rPr>
                <w:b/>
                <w:lang w:eastAsia="en-AU"/>
              </w:rPr>
            </w:pPr>
            <w:r w:rsidRPr="00AD259D">
              <w:rPr>
                <w:b/>
                <w:lang w:eastAsia="en-AU"/>
              </w:rPr>
              <w:t>Tranche 1 (</w:t>
            </w:r>
            <w:r w:rsidR="00453DC4">
              <w:rPr>
                <w:b/>
                <w:lang w:eastAsia="en-AU"/>
              </w:rPr>
              <w:t>29 April 2021</w:t>
            </w:r>
            <w:r w:rsidRPr="00AD259D">
              <w:rPr>
                <w:b/>
                <w:lang w:eastAsia="en-AU"/>
              </w:rPr>
              <w:t>)</w:t>
            </w:r>
          </w:p>
        </w:tc>
        <w:tc>
          <w:tcPr>
            <w:tcW w:w="884" w:type="pct"/>
            <w:gridSpan w:val="2"/>
            <w:tcBorders>
              <w:top w:val="single" w:sz="4" w:space="0" w:color="auto"/>
              <w:left w:val="nil"/>
              <w:bottom w:val="single" w:sz="4" w:space="0" w:color="auto"/>
              <w:right w:val="nil"/>
            </w:tcBorders>
            <w:shd w:val="clear" w:color="auto" w:fill="auto"/>
            <w:noWrap/>
            <w:vAlign w:val="bottom"/>
            <w:hideMark/>
          </w:tcPr>
          <w:p w14:paraId="590BE324" w14:textId="77777777" w:rsidR="008F3407" w:rsidRPr="00AD259D" w:rsidRDefault="008F3407" w:rsidP="00AD259D">
            <w:pPr>
              <w:pStyle w:val="ESVTablebody"/>
              <w:rPr>
                <w:b/>
                <w:lang w:eastAsia="en-AU"/>
              </w:rPr>
            </w:pPr>
          </w:p>
        </w:tc>
        <w:tc>
          <w:tcPr>
            <w:tcW w:w="441" w:type="pct"/>
            <w:tcBorders>
              <w:top w:val="nil"/>
              <w:left w:val="nil"/>
              <w:bottom w:val="single" w:sz="4" w:space="0" w:color="auto"/>
              <w:right w:val="nil"/>
            </w:tcBorders>
            <w:shd w:val="clear" w:color="auto" w:fill="auto"/>
            <w:noWrap/>
            <w:vAlign w:val="bottom"/>
            <w:hideMark/>
          </w:tcPr>
          <w:p w14:paraId="3815B6D1" w14:textId="77777777" w:rsidR="008F3407" w:rsidRPr="00AD259D" w:rsidRDefault="008F3407" w:rsidP="00AD259D">
            <w:pPr>
              <w:pStyle w:val="ESVTablebody"/>
              <w:rPr>
                <w:b/>
                <w:lang w:eastAsia="en-AU"/>
              </w:rPr>
            </w:pPr>
            <w:r w:rsidRPr="00AD259D">
              <w:rPr>
                <w:b/>
                <w:lang w:eastAsia="en-AU"/>
              </w:rPr>
              <w:t>32</w:t>
            </w:r>
          </w:p>
        </w:tc>
        <w:tc>
          <w:tcPr>
            <w:tcW w:w="1103" w:type="pct"/>
            <w:tcBorders>
              <w:top w:val="nil"/>
              <w:left w:val="nil"/>
              <w:bottom w:val="single" w:sz="4" w:space="0" w:color="auto"/>
              <w:right w:val="nil"/>
            </w:tcBorders>
            <w:shd w:val="clear" w:color="000000" w:fill="C6EFCE"/>
            <w:noWrap/>
            <w:vAlign w:val="bottom"/>
            <w:hideMark/>
          </w:tcPr>
          <w:p w14:paraId="3413487E" w14:textId="77777777" w:rsidR="008F3407" w:rsidRPr="00AD259D" w:rsidRDefault="008F3407" w:rsidP="00AD259D">
            <w:pPr>
              <w:pStyle w:val="ESVTablebody"/>
              <w:rPr>
                <w:b/>
                <w:color w:val="006100"/>
                <w:lang w:eastAsia="en-AU"/>
              </w:rPr>
            </w:pPr>
            <w:r w:rsidRPr="00AD259D">
              <w:rPr>
                <w:b/>
                <w:color w:val="006100"/>
                <w:lang w:eastAsia="en-AU"/>
              </w:rPr>
              <w:t>32</w:t>
            </w:r>
          </w:p>
        </w:tc>
        <w:tc>
          <w:tcPr>
            <w:tcW w:w="1248" w:type="pct"/>
            <w:tcBorders>
              <w:top w:val="nil"/>
              <w:left w:val="nil"/>
              <w:bottom w:val="single" w:sz="4" w:space="0" w:color="auto"/>
              <w:right w:val="nil"/>
            </w:tcBorders>
            <w:shd w:val="clear" w:color="000000" w:fill="C6EFCE"/>
            <w:noWrap/>
            <w:vAlign w:val="bottom"/>
            <w:hideMark/>
          </w:tcPr>
          <w:p w14:paraId="62D0D812" w14:textId="77777777" w:rsidR="008F3407" w:rsidRPr="00AD259D" w:rsidRDefault="008F3407" w:rsidP="00AD259D">
            <w:pPr>
              <w:pStyle w:val="ESVTablebody"/>
              <w:rPr>
                <w:b/>
                <w:color w:val="006100"/>
                <w:lang w:eastAsia="en-AU"/>
              </w:rPr>
            </w:pPr>
            <w:r w:rsidRPr="00AD259D">
              <w:rPr>
                <w:b/>
                <w:color w:val="006100"/>
                <w:lang w:eastAsia="en-AU"/>
              </w:rPr>
              <w:t>32</w:t>
            </w:r>
          </w:p>
        </w:tc>
      </w:tr>
      <w:tr w:rsidR="00453DC4" w:rsidRPr="008F3407" w14:paraId="0E8CC0D2" w14:textId="77777777" w:rsidTr="00660470">
        <w:trPr>
          <w:trHeight w:val="300"/>
        </w:trPr>
        <w:tc>
          <w:tcPr>
            <w:tcW w:w="1324" w:type="pct"/>
            <w:tcBorders>
              <w:top w:val="nil"/>
              <w:left w:val="nil"/>
              <w:bottom w:val="nil"/>
              <w:right w:val="nil"/>
            </w:tcBorders>
            <w:shd w:val="clear" w:color="auto" w:fill="auto"/>
            <w:noWrap/>
            <w:vAlign w:val="bottom"/>
            <w:hideMark/>
          </w:tcPr>
          <w:p w14:paraId="30A978FC" w14:textId="77777777" w:rsidR="008F3407" w:rsidRPr="008F3407" w:rsidRDefault="008F3407" w:rsidP="008F3407">
            <w:pPr>
              <w:pStyle w:val="ESVTablebody"/>
              <w:rPr>
                <w:lang w:eastAsia="en-AU"/>
              </w:rPr>
            </w:pPr>
            <w:r w:rsidRPr="008F3407">
              <w:rPr>
                <w:lang w:eastAsia="en-AU"/>
              </w:rPr>
              <w:t>Bairnsdale</w:t>
            </w:r>
          </w:p>
        </w:tc>
        <w:tc>
          <w:tcPr>
            <w:tcW w:w="406" w:type="pct"/>
            <w:tcBorders>
              <w:top w:val="nil"/>
              <w:left w:val="nil"/>
              <w:bottom w:val="nil"/>
              <w:right w:val="nil"/>
            </w:tcBorders>
            <w:shd w:val="clear" w:color="auto" w:fill="auto"/>
            <w:noWrap/>
            <w:vAlign w:val="bottom"/>
            <w:hideMark/>
          </w:tcPr>
          <w:p w14:paraId="70931670" w14:textId="77777777" w:rsidR="008F3407" w:rsidRPr="008F3407" w:rsidRDefault="008F3407" w:rsidP="008F3407">
            <w:pPr>
              <w:pStyle w:val="ESVTablebody"/>
              <w:rPr>
                <w:lang w:eastAsia="en-AU"/>
              </w:rPr>
            </w:pPr>
            <w:r w:rsidRPr="008F3407">
              <w:rPr>
                <w:lang w:eastAsia="en-AU"/>
              </w:rPr>
              <w:t>BDL</w:t>
            </w:r>
          </w:p>
        </w:tc>
        <w:tc>
          <w:tcPr>
            <w:tcW w:w="478" w:type="pct"/>
            <w:tcBorders>
              <w:top w:val="nil"/>
              <w:left w:val="nil"/>
              <w:bottom w:val="nil"/>
              <w:right w:val="nil"/>
            </w:tcBorders>
            <w:shd w:val="clear" w:color="auto" w:fill="auto"/>
            <w:noWrap/>
            <w:vAlign w:val="bottom"/>
            <w:hideMark/>
          </w:tcPr>
          <w:p w14:paraId="55D0C98C" w14:textId="77777777" w:rsidR="008F3407" w:rsidRPr="008F3407" w:rsidRDefault="008F3407" w:rsidP="008F3407">
            <w:pPr>
              <w:pStyle w:val="ESVTablebody"/>
              <w:rPr>
                <w:lang w:eastAsia="en-AU"/>
              </w:rPr>
            </w:pPr>
            <w:r w:rsidRPr="008F3407">
              <w:rPr>
                <w:lang w:eastAsia="en-AU"/>
              </w:rPr>
              <w:t>2</w:t>
            </w:r>
          </w:p>
        </w:tc>
        <w:tc>
          <w:tcPr>
            <w:tcW w:w="441" w:type="pct"/>
            <w:tcBorders>
              <w:top w:val="nil"/>
              <w:left w:val="nil"/>
              <w:bottom w:val="nil"/>
              <w:right w:val="nil"/>
            </w:tcBorders>
            <w:shd w:val="clear" w:color="auto" w:fill="auto"/>
            <w:noWrap/>
            <w:vAlign w:val="bottom"/>
            <w:hideMark/>
          </w:tcPr>
          <w:p w14:paraId="45D0F605" w14:textId="77777777" w:rsidR="008F3407" w:rsidRPr="008F3407" w:rsidRDefault="008F3407" w:rsidP="008F3407">
            <w:pPr>
              <w:pStyle w:val="ESVTablebody"/>
              <w:rPr>
                <w:lang w:eastAsia="en-AU"/>
              </w:rPr>
            </w:pPr>
            <w:r w:rsidRPr="008F3407">
              <w:rPr>
                <w:lang w:eastAsia="en-AU"/>
              </w:rPr>
              <w:t>4</w:t>
            </w:r>
          </w:p>
        </w:tc>
        <w:tc>
          <w:tcPr>
            <w:tcW w:w="1103" w:type="pct"/>
            <w:tcBorders>
              <w:top w:val="nil"/>
              <w:left w:val="nil"/>
              <w:bottom w:val="nil"/>
              <w:right w:val="nil"/>
            </w:tcBorders>
            <w:shd w:val="clear" w:color="000000" w:fill="C6EFCE"/>
            <w:noWrap/>
            <w:vAlign w:val="bottom"/>
            <w:hideMark/>
          </w:tcPr>
          <w:p w14:paraId="7C7B08D0" w14:textId="77777777" w:rsidR="008F3407" w:rsidRPr="008F3407" w:rsidRDefault="008F3407" w:rsidP="008F3407">
            <w:pPr>
              <w:pStyle w:val="ESVTablebody"/>
              <w:rPr>
                <w:color w:val="006100"/>
                <w:lang w:eastAsia="en-AU"/>
              </w:rPr>
            </w:pPr>
            <w:r w:rsidRPr="008F3407">
              <w:rPr>
                <w:color w:val="006100"/>
                <w:lang w:eastAsia="en-AU"/>
              </w:rPr>
              <w:t>Yes</w:t>
            </w:r>
          </w:p>
        </w:tc>
        <w:tc>
          <w:tcPr>
            <w:tcW w:w="1248" w:type="pct"/>
            <w:tcBorders>
              <w:top w:val="nil"/>
              <w:left w:val="nil"/>
              <w:bottom w:val="nil"/>
              <w:right w:val="nil"/>
            </w:tcBorders>
            <w:shd w:val="clear" w:color="000000" w:fill="C6EFCE"/>
            <w:noWrap/>
            <w:vAlign w:val="bottom"/>
            <w:hideMark/>
          </w:tcPr>
          <w:p w14:paraId="170DFC17" w14:textId="77777777" w:rsidR="008F3407" w:rsidRPr="008F3407" w:rsidRDefault="008F3407" w:rsidP="008F3407">
            <w:pPr>
              <w:pStyle w:val="ESVTablebody"/>
              <w:rPr>
                <w:color w:val="006100"/>
                <w:lang w:eastAsia="en-AU"/>
              </w:rPr>
            </w:pPr>
            <w:r w:rsidRPr="008F3407">
              <w:rPr>
                <w:color w:val="006100"/>
                <w:lang w:eastAsia="en-AU"/>
              </w:rPr>
              <w:t>Yes</w:t>
            </w:r>
          </w:p>
        </w:tc>
      </w:tr>
      <w:tr w:rsidR="00453DC4" w:rsidRPr="008F3407" w14:paraId="221A9780" w14:textId="77777777" w:rsidTr="00660470">
        <w:trPr>
          <w:trHeight w:val="300"/>
        </w:trPr>
        <w:tc>
          <w:tcPr>
            <w:tcW w:w="1324" w:type="pct"/>
            <w:tcBorders>
              <w:top w:val="nil"/>
              <w:left w:val="nil"/>
              <w:bottom w:val="nil"/>
              <w:right w:val="nil"/>
            </w:tcBorders>
            <w:shd w:val="clear" w:color="auto" w:fill="auto"/>
            <w:noWrap/>
            <w:vAlign w:val="bottom"/>
            <w:hideMark/>
          </w:tcPr>
          <w:p w14:paraId="48CDF02F" w14:textId="74C65E1E" w:rsidR="00256AE6" w:rsidRPr="008D0B99" w:rsidRDefault="00B42E1F" w:rsidP="00B42E1F">
            <w:pPr>
              <w:pStyle w:val="ESVTablebody"/>
              <w:rPr>
                <w:vertAlign w:val="superscript"/>
                <w:lang w:eastAsia="en-AU"/>
              </w:rPr>
            </w:pPr>
            <w:r w:rsidRPr="008F3407">
              <w:rPr>
                <w:lang w:eastAsia="en-AU"/>
              </w:rPr>
              <w:t>Belgrave</w:t>
            </w:r>
            <w:r>
              <w:rPr>
                <w:vertAlign w:val="superscript"/>
                <w:lang w:eastAsia="en-AU"/>
              </w:rPr>
              <w:t>2</w:t>
            </w:r>
          </w:p>
        </w:tc>
        <w:tc>
          <w:tcPr>
            <w:tcW w:w="406" w:type="pct"/>
            <w:tcBorders>
              <w:top w:val="nil"/>
              <w:left w:val="nil"/>
              <w:bottom w:val="nil"/>
              <w:right w:val="nil"/>
            </w:tcBorders>
            <w:shd w:val="clear" w:color="auto" w:fill="auto"/>
            <w:noWrap/>
            <w:vAlign w:val="bottom"/>
            <w:hideMark/>
          </w:tcPr>
          <w:p w14:paraId="1F84283F" w14:textId="77777777" w:rsidR="00256AE6" w:rsidRPr="008F3407" w:rsidRDefault="00256AE6" w:rsidP="00256AE6">
            <w:pPr>
              <w:pStyle w:val="ESVTablebody"/>
              <w:rPr>
                <w:lang w:eastAsia="en-AU"/>
              </w:rPr>
            </w:pPr>
            <w:r w:rsidRPr="008F3407">
              <w:rPr>
                <w:lang w:eastAsia="en-AU"/>
              </w:rPr>
              <w:t>BGE</w:t>
            </w:r>
          </w:p>
        </w:tc>
        <w:tc>
          <w:tcPr>
            <w:tcW w:w="478" w:type="pct"/>
            <w:tcBorders>
              <w:top w:val="nil"/>
              <w:left w:val="nil"/>
              <w:bottom w:val="nil"/>
              <w:right w:val="nil"/>
            </w:tcBorders>
            <w:shd w:val="clear" w:color="auto" w:fill="auto"/>
            <w:noWrap/>
            <w:vAlign w:val="bottom"/>
            <w:hideMark/>
          </w:tcPr>
          <w:p w14:paraId="2C08C551" w14:textId="77777777" w:rsidR="00256AE6" w:rsidRPr="008F3407" w:rsidRDefault="00256AE6" w:rsidP="00256AE6">
            <w:pPr>
              <w:pStyle w:val="ESVTablebody"/>
              <w:rPr>
                <w:lang w:eastAsia="en-AU"/>
              </w:rPr>
            </w:pPr>
            <w:r w:rsidRPr="008F3407">
              <w:rPr>
                <w:lang w:eastAsia="en-AU"/>
              </w:rPr>
              <w:t>2</w:t>
            </w:r>
          </w:p>
        </w:tc>
        <w:tc>
          <w:tcPr>
            <w:tcW w:w="441" w:type="pct"/>
            <w:tcBorders>
              <w:top w:val="nil"/>
              <w:left w:val="nil"/>
              <w:bottom w:val="nil"/>
              <w:right w:val="nil"/>
            </w:tcBorders>
            <w:shd w:val="clear" w:color="auto" w:fill="auto"/>
            <w:noWrap/>
            <w:vAlign w:val="bottom"/>
            <w:hideMark/>
          </w:tcPr>
          <w:p w14:paraId="67867264" w14:textId="77777777" w:rsidR="00256AE6" w:rsidRPr="008F3407" w:rsidRDefault="00256AE6" w:rsidP="00256AE6">
            <w:pPr>
              <w:pStyle w:val="ESVTablebody"/>
              <w:rPr>
                <w:lang w:eastAsia="en-AU"/>
              </w:rPr>
            </w:pPr>
            <w:r w:rsidRPr="008F3407">
              <w:rPr>
                <w:lang w:eastAsia="en-AU"/>
              </w:rPr>
              <w:t>3</w:t>
            </w:r>
          </w:p>
        </w:tc>
        <w:tc>
          <w:tcPr>
            <w:tcW w:w="1103" w:type="pct"/>
            <w:tcBorders>
              <w:top w:val="nil"/>
              <w:left w:val="nil"/>
              <w:bottom w:val="nil"/>
              <w:right w:val="nil"/>
            </w:tcBorders>
            <w:shd w:val="clear" w:color="auto" w:fill="C6EFCE"/>
            <w:noWrap/>
            <w:vAlign w:val="bottom"/>
            <w:hideMark/>
          </w:tcPr>
          <w:p w14:paraId="2BDF487C" w14:textId="77777777" w:rsidR="00256AE6" w:rsidRPr="008F3407" w:rsidRDefault="00256AE6" w:rsidP="00256AE6">
            <w:pPr>
              <w:pStyle w:val="ESVTablebody"/>
              <w:rPr>
                <w:color w:val="006100"/>
                <w:lang w:eastAsia="en-AU"/>
              </w:rPr>
            </w:pPr>
            <w:r w:rsidRPr="008F3407">
              <w:rPr>
                <w:color w:val="006100"/>
                <w:lang w:eastAsia="en-AU"/>
              </w:rPr>
              <w:t>Yes</w:t>
            </w:r>
          </w:p>
        </w:tc>
        <w:tc>
          <w:tcPr>
            <w:tcW w:w="1248" w:type="pct"/>
            <w:tcBorders>
              <w:top w:val="nil"/>
              <w:left w:val="nil"/>
              <w:bottom w:val="nil"/>
              <w:right w:val="nil"/>
            </w:tcBorders>
            <w:shd w:val="clear" w:color="auto" w:fill="C6EFCE"/>
            <w:noWrap/>
            <w:vAlign w:val="bottom"/>
            <w:hideMark/>
          </w:tcPr>
          <w:p w14:paraId="2FEC94F0" w14:textId="77777777" w:rsidR="00256AE6" w:rsidRPr="008F3407" w:rsidRDefault="00256AE6" w:rsidP="00256AE6">
            <w:pPr>
              <w:pStyle w:val="ESVTablebody"/>
              <w:rPr>
                <w:color w:val="006100"/>
                <w:lang w:eastAsia="en-AU"/>
              </w:rPr>
            </w:pPr>
            <w:r w:rsidRPr="008F3407">
              <w:rPr>
                <w:color w:val="006100"/>
                <w:lang w:eastAsia="en-AU"/>
              </w:rPr>
              <w:t>Yes</w:t>
            </w:r>
          </w:p>
        </w:tc>
      </w:tr>
      <w:tr w:rsidR="00453DC4" w:rsidRPr="008F3407" w14:paraId="36E2892E" w14:textId="77777777" w:rsidTr="00660470">
        <w:trPr>
          <w:trHeight w:val="300"/>
        </w:trPr>
        <w:tc>
          <w:tcPr>
            <w:tcW w:w="1324" w:type="pct"/>
            <w:tcBorders>
              <w:top w:val="nil"/>
              <w:left w:val="nil"/>
              <w:bottom w:val="nil"/>
              <w:right w:val="nil"/>
            </w:tcBorders>
            <w:shd w:val="clear" w:color="auto" w:fill="auto"/>
            <w:noWrap/>
            <w:vAlign w:val="bottom"/>
            <w:hideMark/>
          </w:tcPr>
          <w:p w14:paraId="7132DAF2" w14:textId="4BD69CDD" w:rsidR="00256AE6" w:rsidRPr="008D0B99" w:rsidRDefault="00B42E1F" w:rsidP="00B42E1F">
            <w:pPr>
              <w:pStyle w:val="ESVTablebody"/>
              <w:rPr>
                <w:vertAlign w:val="superscript"/>
                <w:lang w:eastAsia="en-AU"/>
              </w:rPr>
            </w:pPr>
            <w:r w:rsidRPr="008F3407">
              <w:rPr>
                <w:lang w:eastAsia="en-AU"/>
              </w:rPr>
              <w:t>Eltham</w:t>
            </w:r>
            <w:r>
              <w:rPr>
                <w:vertAlign w:val="superscript"/>
                <w:lang w:eastAsia="en-AU"/>
              </w:rPr>
              <w:t>2</w:t>
            </w:r>
          </w:p>
        </w:tc>
        <w:tc>
          <w:tcPr>
            <w:tcW w:w="406" w:type="pct"/>
            <w:tcBorders>
              <w:top w:val="nil"/>
              <w:left w:val="nil"/>
              <w:bottom w:val="nil"/>
              <w:right w:val="nil"/>
            </w:tcBorders>
            <w:shd w:val="clear" w:color="auto" w:fill="auto"/>
            <w:noWrap/>
            <w:vAlign w:val="bottom"/>
            <w:hideMark/>
          </w:tcPr>
          <w:p w14:paraId="470660C3" w14:textId="77777777" w:rsidR="00256AE6" w:rsidRPr="008F3407" w:rsidRDefault="00256AE6" w:rsidP="00256AE6">
            <w:pPr>
              <w:pStyle w:val="ESVTablebody"/>
              <w:rPr>
                <w:lang w:eastAsia="en-AU"/>
              </w:rPr>
            </w:pPr>
            <w:r w:rsidRPr="008F3407">
              <w:rPr>
                <w:lang w:eastAsia="en-AU"/>
              </w:rPr>
              <w:t>ELM</w:t>
            </w:r>
          </w:p>
        </w:tc>
        <w:tc>
          <w:tcPr>
            <w:tcW w:w="478" w:type="pct"/>
            <w:tcBorders>
              <w:top w:val="nil"/>
              <w:left w:val="nil"/>
              <w:bottom w:val="nil"/>
              <w:right w:val="nil"/>
            </w:tcBorders>
            <w:shd w:val="clear" w:color="auto" w:fill="auto"/>
            <w:noWrap/>
            <w:vAlign w:val="bottom"/>
            <w:hideMark/>
          </w:tcPr>
          <w:p w14:paraId="5ABAF394" w14:textId="77777777" w:rsidR="00256AE6" w:rsidRPr="008F3407" w:rsidRDefault="00256AE6" w:rsidP="00256AE6">
            <w:pPr>
              <w:pStyle w:val="ESVTablebody"/>
              <w:rPr>
                <w:lang w:eastAsia="en-AU"/>
              </w:rPr>
            </w:pPr>
            <w:r w:rsidRPr="008F3407">
              <w:rPr>
                <w:lang w:eastAsia="en-AU"/>
              </w:rPr>
              <w:t>2</w:t>
            </w:r>
          </w:p>
        </w:tc>
        <w:tc>
          <w:tcPr>
            <w:tcW w:w="441" w:type="pct"/>
            <w:tcBorders>
              <w:top w:val="nil"/>
              <w:left w:val="nil"/>
              <w:bottom w:val="nil"/>
              <w:right w:val="nil"/>
            </w:tcBorders>
            <w:shd w:val="clear" w:color="auto" w:fill="auto"/>
            <w:noWrap/>
            <w:vAlign w:val="bottom"/>
            <w:hideMark/>
          </w:tcPr>
          <w:p w14:paraId="511F4D55" w14:textId="77777777" w:rsidR="00256AE6" w:rsidRPr="008F3407" w:rsidRDefault="00256AE6" w:rsidP="00256AE6">
            <w:pPr>
              <w:pStyle w:val="ESVTablebody"/>
              <w:rPr>
                <w:lang w:eastAsia="en-AU"/>
              </w:rPr>
            </w:pPr>
            <w:r w:rsidRPr="008F3407">
              <w:rPr>
                <w:lang w:eastAsia="en-AU"/>
              </w:rPr>
              <w:t>2</w:t>
            </w:r>
          </w:p>
        </w:tc>
        <w:tc>
          <w:tcPr>
            <w:tcW w:w="1103" w:type="pct"/>
            <w:tcBorders>
              <w:top w:val="nil"/>
              <w:left w:val="nil"/>
              <w:bottom w:val="nil"/>
              <w:right w:val="nil"/>
            </w:tcBorders>
            <w:shd w:val="clear" w:color="auto" w:fill="C6EFCE"/>
            <w:noWrap/>
            <w:vAlign w:val="bottom"/>
            <w:hideMark/>
          </w:tcPr>
          <w:p w14:paraId="38E6842E" w14:textId="77777777" w:rsidR="00256AE6" w:rsidRPr="008F3407" w:rsidRDefault="00256AE6" w:rsidP="00256AE6">
            <w:pPr>
              <w:pStyle w:val="ESVTablebody"/>
              <w:rPr>
                <w:color w:val="006100"/>
                <w:lang w:eastAsia="en-AU"/>
              </w:rPr>
            </w:pPr>
            <w:r w:rsidRPr="008F3407">
              <w:rPr>
                <w:color w:val="006100"/>
                <w:lang w:eastAsia="en-AU"/>
              </w:rPr>
              <w:t>Yes</w:t>
            </w:r>
          </w:p>
        </w:tc>
        <w:tc>
          <w:tcPr>
            <w:tcW w:w="1248" w:type="pct"/>
            <w:tcBorders>
              <w:top w:val="nil"/>
              <w:left w:val="nil"/>
              <w:bottom w:val="nil"/>
              <w:right w:val="nil"/>
            </w:tcBorders>
            <w:shd w:val="clear" w:color="auto" w:fill="C6EFCE"/>
            <w:noWrap/>
            <w:vAlign w:val="bottom"/>
            <w:hideMark/>
          </w:tcPr>
          <w:p w14:paraId="7E69AB6E" w14:textId="77777777" w:rsidR="00256AE6" w:rsidRPr="008F3407" w:rsidRDefault="00256AE6" w:rsidP="00256AE6">
            <w:pPr>
              <w:pStyle w:val="ESVTablebody"/>
              <w:rPr>
                <w:color w:val="006100"/>
                <w:lang w:eastAsia="en-AU"/>
              </w:rPr>
            </w:pPr>
            <w:r w:rsidRPr="008F3407">
              <w:rPr>
                <w:color w:val="006100"/>
                <w:lang w:eastAsia="en-AU"/>
              </w:rPr>
              <w:t>Yes</w:t>
            </w:r>
          </w:p>
        </w:tc>
      </w:tr>
      <w:tr w:rsidR="00453DC4" w:rsidRPr="008F3407" w14:paraId="3717D0AA" w14:textId="77777777" w:rsidTr="00660470">
        <w:trPr>
          <w:trHeight w:val="300"/>
        </w:trPr>
        <w:tc>
          <w:tcPr>
            <w:tcW w:w="1324" w:type="pct"/>
            <w:tcBorders>
              <w:top w:val="nil"/>
              <w:left w:val="nil"/>
              <w:bottom w:val="nil"/>
              <w:right w:val="nil"/>
            </w:tcBorders>
            <w:shd w:val="clear" w:color="auto" w:fill="auto"/>
            <w:noWrap/>
            <w:vAlign w:val="bottom"/>
          </w:tcPr>
          <w:p w14:paraId="2BB58B0B" w14:textId="77777777" w:rsidR="003D72B5" w:rsidRPr="008F3407" w:rsidRDefault="003D72B5" w:rsidP="003D72B5">
            <w:pPr>
              <w:pStyle w:val="ESVTablebody"/>
              <w:rPr>
                <w:lang w:eastAsia="en-AU"/>
              </w:rPr>
            </w:pPr>
            <w:r w:rsidRPr="008F3407">
              <w:rPr>
                <w:lang w:eastAsia="en-AU"/>
              </w:rPr>
              <w:t>Ferntree Gully</w:t>
            </w:r>
          </w:p>
        </w:tc>
        <w:tc>
          <w:tcPr>
            <w:tcW w:w="406" w:type="pct"/>
            <w:tcBorders>
              <w:top w:val="nil"/>
              <w:left w:val="nil"/>
              <w:bottom w:val="nil"/>
              <w:right w:val="nil"/>
            </w:tcBorders>
            <w:shd w:val="clear" w:color="auto" w:fill="auto"/>
            <w:noWrap/>
            <w:vAlign w:val="bottom"/>
          </w:tcPr>
          <w:p w14:paraId="6EA3FCF6" w14:textId="77777777" w:rsidR="003D72B5" w:rsidRPr="008F3407" w:rsidRDefault="003D72B5" w:rsidP="003D72B5">
            <w:pPr>
              <w:pStyle w:val="ESVTablebody"/>
              <w:rPr>
                <w:lang w:eastAsia="en-AU"/>
              </w:rPr>
            </w:pPr>
            <w:r w:rsidRPr="008F3407">
              <w:rPr>
                <w:lang w:eastAsia="en-AU"/>
              </w:rPr>
              <w:t>FGY</w:t>
            </w:r>
          </w:p>
        </w:tc>
        <w:tc>
          <w:tcPr>
            <w:tcW w:w="478" w:type="pct"/>
            <w:tcBorders>
              <w:top w:val="nil"/>
              <w:left w:val="nil"/>
              <w:bottom w:val="nil"/>
              <w:right w:val="nil"/>
            </w:tcBorders>
            <w:shd w:val="clear" w:color="auto" w:fill="auto"/>
            <w:noWrap/>
            <w:vAlign w:val="bottom"/>
          </w:tcPr>
          <w:p w14:paraId="242C4CA6" w14:textId="77777777" w:rsidR="003D72B5" w:rsidRPr="008F3407" w:rsidRDefault="003D72B5" w:rsidP="003D72B5">
            <w:pPr>
              <w:pStyle w:val="ESVTablebody"/>
              <w:rPr>
                <w:lang w:eastAsia="en-AU"/>
              </w:rPr>
            </w:pPr>
            <w:r w:rsidRPr="008F3407">
              <w:rPr>
                <w:lang w:eastAsia="en-AU"/>
              </w:rPr>
              <w:t>2</w:t>
            </w:r>
          </w:p>
        </w:tc>
        <w:tc>
          <w:tcPr>
            <w:tcW w:w="441" w:type="pct"/>
            <w:tcBorders>
              <w:top w:val="nil"/>
              <w:left w:val="nil"/>
              <w:bottom w:val="nil"/>
              <w:right w:val="nil"/>
            </w:tcBorders>
            <w:shd w:val="clear" w:color="auto" w:fill="auto"/>
            <w:noWrap/>
            <w:vAlign w:val="bottom"/>
          </w:tcPr>
          <w:p w14:paraId="528549B4" w14:textId="77777777" w:rsidR="003D72B5" w:rsidRPr="008F3407" w:rsidRDefault="003D72B5" w:rsidP="003D72B5">
            <w:pPr>
              <w:pStyle w:val="ESVTablebody"/>
              <w:rPr>
                <w:lang w:eastAsia="en-AU"/>
              </w:rPr>
            </w:pPr>
            <w:r w:rsidRPr="008F3407">
              <w:rPr>
                <w:lang w:eastAsia="en-AU"/>
              </w:rPr>
              <w:t>2</w:t>
            </w:r>
          </w:p>
        </w:tc>
        <w:tc>
          <w:tcPr>
            <w:tcW w:w="1103" w:type="pct"/>
            <w:tcBorders>
              <w:top w:val="nil"/>
              <w:left w:val="nil"/>
              <w:bottom w:val="nil"/>
              <w:right w:val="nil"/>
            </w:tcBorders>
            <w:shd w:val="clear" w:color="auto" w:fill="C6EFCE"/>
            <w:noWrap/>
            <w:vAlign w:val="bottom"/>
          </w:tcPr>
          <w:p w14:paraId="5E697094" w14:textId="77777777" w:rsidR="003D72B5" w:rsidRPr="008F3407" w:rsidRDefault="003D72B5" w:rsidP="003D72B5">
            <w:pPr>
              <w:pStyle w:val="ESVTablebody"/>
              <w:rPr>
                <w:color w:val="006100"/>
                <w:lang w:eastAsia="en-AU"/>
              </w:rPr>
            </w:pPr>
            <w:r w:rsidRPr="008F3407">
              <w:rPr>
                <w:color w:val="006100"/>
                <w:lang w:eastAsia="en-AU"/>
              </w:rPr>
              <w:t>Yes</w:t>
            </w:r>
          </w:p>
        </w:tc>
        <w:tc>
          <w:tcPr>
            <w:tcW w:w="1248" w:type="pct"/>
            <w:tcBorders>
              <w:top w:val="nil"/>
              <w:left w:val="nil"/>
              <w:bottom w:val="nil"/>
              <w:right w:val="nil"/>
            </w:tcBorders>
            <w:shd w:val="clear" w:color="auto" w:fill="C6EFCE"/>
            <w:noWrap/>
            <w:vAlign w:val="bottom"/>
          </w:tcPr>
          <w:p w14:paraId="0E10D714" w14:textId="77777777" w:rsidR="003D72B5" w:rsidRPr="008F3407" w:rsidRDefault="003D72B5" w:rsidP="003D72B5">
            <w:pPr>
              <w:pStyle w:val="ESVTablebody"/>
              <w:rPr>
                <w:color w:val="006100"/>
                <w:lang w:eastAsia="en-AU"/>
              </w:rPr>
            </w:pPr>
            <w:r w:rsidRPr="008F3407">
              <w:rPr>
                <w:color w:val="006100"/>
                <w:lang w:eastAsia="en-AU"/>
              </w:rPr>
              <w:t>Yes</w:t>
            </w:r>
          </w:p>
        </w:tc>
      </w:tr>
      <w:tr w:rsidR="00453DC4" w:rsidRPr="008F3407" w14:paraId="5051DBEC" w14:textId="77777777" w:rsidTr="00660470">
        <w:trPr>
          <w:trHeight w:val="300"/>
        </w:trPr>
        <w:tc>
          <w:tcPr>
            <w:tcW w:w="1324" w:type="pct"/>
            <w:tcBorders>
              <w:top w:val="nil"/>
              <w:left w:val="nil"/>
              <w:bottom w:val="nil"/>
              <w:right w:val="nil"/>
            </w:tcBorders>
            <w:shd w:val="clear" w:color="auto" w:fill="auto"/>
            <w:noWrap/>
            <w:vAlign w:val="bottom"/>
          </w:tcPr>
          <w:p w14:paraId="27ACDEA7" w14:textId="77777777" w:rsidR="0023072B" w:rsidRPr="008F3407" w:rsidRDefault="0023072B" w:rsidP="0023072B">
            <w:pPr>
              <w:pStyle w:val="ESVTablebody"/>
              <w:rPr>
                <w:lang w:eastAsia="en-AU"/>
              </w:rPr>
            </w:pPr>
            <w:r w:rsidRPr="008F3407">
              <w:rPr>
                <w:lang w:eastAsia="en-AU"/>
              </w:rPr>
              <w:t xml:space="preserve">Lang </w:t>
            </w:r>
            <w:proofErr w:type="spellStart"/>
            <w:r w:rsidRPr="008F3407">
              <w:rPr>
                <w:lang w:eastAsia="en-AU"/>
              </w:rPr>
              <w:t>Lang</w:t>
            </w:r>
            <w:proofErr w:type="spellEnd"/>
          </w:p>
        </w:tc>
        <w:tc>
          <w:tcPr>
            <w:tcW w:w="406" w:type="pct"/>
            <w:tcBorders>
              <w:top w:val="nil"/>
              <w:left w:val="nil"/>
              <w:bottom w:val="nil"/>
              <w:right w:val="nil"/>
            </w:tcBorders>
            <w:shd w:val="clear" w:color="auto" w:fill="auto"/>
            <w:noWrap/>
            <w:vAlign w:val="bottom"/>
          </w:tcPr>
          <w:p w14:paraId="2DE67ECA" w14:textId="77777777" w:rsidR="0023072B" w:rsidRPr="008F3407" w:rsidRDefault="0023072B" w:rsidP="0023072B">
            <w:pPr>
              <w:pStyle w:val="ESVTablebody"/>
              <w:rPr>
                <w:lang w:eastAsia="en-AU"/>
              </w:rPr>
            </w:pPr>
            <w:r w:rsidRPr="008F3407">
              <w:rPr>
                <w:lang w:eastAsia="en-AU"/>
              </w:rPr>
              <w:t>LLG</w:t>
            </w:r>
          </w:p>
        </w:tc>
        <w:tc>
          <w:tcPr>
            <w:tcW w:w="478" w:type="pct"/>
            <w:tcBorders>
              <w:top w:val="nil"/>
              <w:left w:val="nil"/>
              <w:bottom w:val="nil"/>
              <w:right w:val="nil"/>
            </w:tcBorders>
            <w:shd w:val="clear" w:color="auto" w:fill="auto"/>
            <w:noWrap/>
            <w:vAlign w:val="bottom"/>
          </w:tcPr>
          <w:p w14:paraId="7E9AE837" w14:textId="77777777" w:rsidR="0023072B" w:rsidRPr="008F3407" w:rsidRDefault="00564D0D" w:rsidP="00564D0D">
            <w:pPr>
              <w:pStyle w:val="ESVTablebody"/>
              <w:rPr>
                <w:lang w:eastAsia="en-AU"/>
              </w:rPr>
            </w:pPr>
            <w:r>
              <w:rPr>
                <w:lang w:eastAsia="en-AU"/>
              </w:rPr>
              <w:t>2</w:t>
            </w:r>
          </w:p>
        </w:tc>
        <w:tc>
          <w:tcPr>
            <w:tcW w:w="441" w:type="pct"/>
            <w:tcBorders>
              <w:top w:val="nil"/>
              <w:left w:val="nil"/>
              <w:bottom w:val="nil"/>
              <w:right w:val="nil"/>
            </w:tcBorders>
            <w:shd w:val="clear" w:color="auto" w:fill="auto"/>
            <w:noWrap/>
            <w:vAlign w:val="bottom"/>
          </w:tcPr>
          <w:p w14:paraId="17CB8835" w14:textId="77777777" w:rsidR="0023072B" w:rsidRPr="008F3407" w:rsidRDefault="0023072B" w:rsidP="0023072B">
            <w:pPr>
              <w:pStyle w:val="ESVTablebody"/>
              <w:rPr>
                <w:lang w:eastAsia="en-AU"/>
              </w:rPr>
            </w:pPr>
            <w:r w:rsidRPr="008F3407">
              <w:rPr>
                <w:lang w:eastAsia="en-AU"/>
              </w:rPr>
              <w:t>1</w:t>
            </w:r>
          </w:p>
        </w:tc>
        <w:tc>
          <w:tcPr>
            <w:tcW w:w="1103" w:type="pct"/>
            <w:tcBorders>
              <w:top w:val="nil"/>
              <w:left w:val="nil"/>
              <w:bottom w:val="nil"/>
              <w:right w:val="nil"/>
            </w:tcBorders>
            <w:shd w:val="clear" w:color="auto" w:fill="C6EFCE"/>
            <w:noWrap/>
            <w:vAlign w:val="bottom"/>
          </w:tcPr>
          <w:p w14:paraId="76352767" w14:textId="77777777" w:rsidR="0023072B" w:rsidRPr="008F3407" w:rsidRDefault="0023072B" w:rsidP="0023072B">
            <w:pPr>
              <w:pStyle w:val="ESVTablebody"/>
              <w:rPr>
                <w:color w:val="006100"/>
                <w:lang w:eastAsia="en-AU"/>
              </w:rPr>
            </w:pPr>
            <w:r w:rsidRPr="008F3407">
              <w:rPr>
                <w:color w:val="006100"/>
                <w:lang w:eastAsia="en-AU"/>
              </w:rPr>
              <w:t>Yes</w:t>
            </w:r>
          </w:p>
        </w:tc>
        <w:tc>
          <w:tcPr>
            <w:tcW w:w="1248" w:type="pct"/>
            <w:tcBorders>
              <w:top w:val="nil"/>
              <w:left w:val="nil"/>
              <w:bottom w:val="nil"/>
              <w:right w:val="nil"/>
            </w:tcBorders>
            <w:shd w:val="clear" w:color="auto" w:fill="C6EFCE"/>
            <w:noWrap/>
            <w:vAlign w:val="bottom"/>
          </w:tcPr>
          <w:p w14:paraId="70358590" w14:textId="77777777" w:rsidR="0023072B" w:rsidRPr="008F3407" w:rsidRDefault="0023072B" w:rsidP="0023072B">
            <w:pPr>
              <w:pStyle w:val="ESVTablebody"/>
              <w:rPr>
                <w:color w:val="006100"/>
                <w:lang w:eastAsia="en-AU"/>
              </w:rPr>
            </w:pPr>
            <w:r w:rsidRPr="008F3407">
              <w:rPr>
                <w:color w:val="006100"/>
                <w:lang w:eastAsia="en-AU"/>
              </w:rPr>
              <w:t>Yes</w:t>
            </w:r>
          </w:p>
        </w:tc>
      </w:tr>
      <w:tr w:rsidR="00453DC4" w:rsidRPr="008F3407" w14:paraId="1CFBB5F9" w14:textId="77777777" w:rsidTr="00660470">
        <w:trPr>
          <w:trHeight w:val="300"/>
        </w:trPr>
        <w:tc>
          <w:tcPr>
            <w:tcW w:w="1324" w:type="pct"/>
            <w:tcBorders>
              <w:top w:val="nil"/>
              <w:left w:val="nil"/>
              <w:bottom w:val="nil"/>
              <w:right w:val="nil"/>
            </w:tcBorders>
            <w:shd w:val="clear" w:color="auto" w:fill="auto"/>
            <w:noWrap/>
            <w:vAlign w:val="bottom"/>
            <w:hideMark/>
          </w:tcPr>
          <w:p w14:paraId="6F6EDB40" w14:textId="30E792C7" w:rsidR="0023072B" w:rsidRPr="008D0B99" w:rsidRDefault="00B42E1F" w:rsidP="00B42E1F">
            <w:pPr>
              <w:pStyle w:val="ESVTablebody"/>
              <w:rPr>
                <w:vertAlign w:val="superscript"/>
                <w:lang w:eastAsia="en-AU"/>
              </w:rPr>
            </w:pPr>
            <w:r w:rsidRPr="008F3407">
              <w:rPr>
                <w:lang w:eastAsia="en-AU"/>
              </w:rPr>
              <w:t>Lilydale</w:t>
            </w:r>
            <w:r>
              <w:rPr>
                <w:vertAlign w:val="superscript"/>
                <w:lang w:eastAsia="en-AU"/>
              </w:rPr>
              <w:t>2</w:t>
            </w:r>
          </w:p>
        </w:tc>
        <w:tc>
          <w:tcPr>
            <w:tcW w:w="406" w:type="pct"/>
            <w:tcBorders>
              <w:top w:val="nil"/>
              <w:left w:val="nil"/>
              <w:bottom w:val="nil"/>
              <w:right w:val="nil"/>
            </w:tcBorders>
            <w:shd w:val="clear" w:color="auto" w:fill="auto"/>
            <w:noWrap/>
            <w:vAlign w:val="bottom"/>
            <w:hideMark/>
          </w:tcPr>
          <w:p w14:paraId="0ADE2362" w14:textId="77777777" w:rsidR="0023072B" w:rsidRPr="008F3407" w:rsidRDefault="0023072B" w:rsidP="0023072B">
            <w:pPr>
              <w:pStyle w:val="ESVTablebody"/>
              <w:rPr>
                <w:lang w:eastAsia="en-AU"/>
              </w:rPr>
            </w:pPr>
            <w:r w:rsidRPr="008F3407">
              <w:rPr>
                <w:lang w:eastAsia="en-AU"/>
              </w:rPr>
              <w:t>LDL</w:t>
            </w:r>
          </w:p>
        </w:tc>
        <w:tc>
          <w:tcPr>
            <w:tcW w:w="478" w:type="pct"/>
            <w:tcBorders>
              <w:top w:val="nil"/>
              <w:left w:val="nil"/>
              <w:bottom w:val="nil"/>
              <w:right w:val="nil"/>
            </w:tcBorders>
            <w:shd w:val="clear" w:color="auto" w:fill="auto"/>
            <w:noWrap/>
            <w:vAlign w:val="bottom"/>
            <w:hideMark/>
          </w:tcPr>
          <w:p w14:paraId="07002745" w14:textId="77777777" w:rsidR="0023072B" w:rsidRPr="008F3407" w:rsidRDefault="0023072B" w:rsidP="0023072B">
            <w:pPr>
              <w:pStyle w:val="ESVTablebody"/>
              <w:rPr>
                <w:lang w:eastAsia="en-AU"/>
              </w:rPr>
            </w:pPr>
            <w:r w:rsidRPr="008F3407">
              <w:rPr>
                <w:lang w:eastAsia="en-AU"/>
              </w:rPr>
              <w:t>2</w:t>
            </w:r>
          </w:p>
        </w:tc>
        <w:tc>
          <w:tcPr>
            <w:tcW w:w="441" w:type="pct"/>
            <w:tcBorders>
              <w:top w:val="nil"/>
              <w:left w:val="nil"/>
              <w:bottom w:val="nil"/>
              <w:right w:val="nil"/>
            </w:tcBorders>
            <w:shd w:val="clear" w:color="auto" w:fill="auto"/>
            <w:noWrap/>
            <w:vAlign w:val="bottom"/>
            <w:hideMark/>
          </w:tcPr>
          <w:p w14:paraId="2BEF2C2D" w14:textId="77777777" w:rsidR="0023072B" w:rsidRPr="008F3407" w:rsidRDefault="0023072B" w:rsidP="0023072B">
            <w:pPr>
              <w:pStyle w:val="ESVTablebody"/>
              <w:rPr>
                <w:lang w:eastAsia="en-AU"/>
              </w:rPr>
            </w:pPr>
            <w:r w:rsidRPr="008F3407">
              <w:rPr>
                <w:lang w:eastAsia="en-AU"/>
              </w:rPr>
              <w:t>3</w:t>
            </w:r>
          </w:p>
        </w:tc>
        <w:tc>
          <w:tcPr>
            <w:tcW w:w="1103" w:type="pct"/>
            <w:tcBorders>
              <w:top w:val="nil"/>
              <w:left w:val="nil"/>
              <w:bottom w:val="nil"/>
              <w:right w:val="nil"/>
            </w:tcBorders>
            <w:shd w:val="clear" w:color="000000" w:fill="C6EFCE"/>
            <w:noWrap/>
            <w:vAlign w:val="bottom"/>
            <w:hideMark/>
          </w:tcPr>
          <w:p w14:paraId="117E9756" w14:textId="77777777" w:rsidR="0023072B" w:rsidRPr="008F3407" w:rsidRDefault="0023072B" w:rsidP="0023072B">
            <w:pPr>
              <w:pStyle w:val="ESVTablebody"/>
              <w:rPr>
                <w:color w:val="006100"/>
                <w:lang w:eastAsia="en-AU"/>
              </w:rPr>
            </w:pPr>
            <w:r w:rsidRPr="008F3407">
              <w:rPr>
                <w:color w:val="006100"/>
                <w:lang w:eastAsia="en-AU"/>
              </w:rPr>
              <w:t>Yes</w:t>
            </w:r>
          </w:p>
        </w:tc>
        <w:tc>
          <w:tcPr>
            <w:tcW w:w="1248" w:type="pct"/>
            <w:tcBorders>
              <w:top w:val="nil"/>
              <w:left w:val="nil"/>
              <w:bottom w:val="nil"/>
              <w:right w:val="nil"/>
            </w:tcBorders>
            <w:shd w:val="clear" w:color="auto" w:fill="C6EFCE"/>
            <w:noWrap/>
            <w:vAlign w:val="bottom"/>
            <w:hideMark/>
          </w:tcPr>
          <w:p w14:paraId="408081AE" w14:textId="77777777" w:rsidR="0023072B" w:rsidRPr="002143A8" w:rsidRDefault="0023072B" w:rsidP="0023072B">
            <w:pPr>
              <w:pStyle w:val="ESVTablebody"/>
              <w:rPr>
                <w:color w:val="006100"/>
                <w:lang w:eastAsia="en-AU"/>
              </w:rPr>
            </w:pPr>
            <w:r w:rsidRPr="008F3407">
              <w:rPr>
                <w:color w:val="006100"/>
                <w:lang w:eastAsia="en-AU"/>
              </w:rPr>
              <w:t>Yes</w:t>
            </w:r>
          </w:p>
        </w:tc>
      </w:tr>
      <w:tr w:rsidR="00453DC4" w:rsidRPr="008F3407" w:rsidDel="00453DC4" w14:paraId="7BA99372" w14:textId="77777777" w:rsidTr="00660470">
        <w:trPr>
          <w:trHeight w:val="300"/>
        </w:trPr>
        <w:tc>
          <w:tcPr>
            <w:tcW w:w="1324" w:type="pct"/>
            <w:tcBorders>
              <w:top w:val="nil"/>
              <w:left w:val="nil"/>
              <w:bottom w:val="nil"/>
              <w:right w:val="nil"/>
            </w:tcBorders>
            <w:shd w:val="clear" w:color="auto" w:fill="auto"/>
            <w:noWrap/>
            <w:vAlign w:val="bottom"/>
            <w:hideMark/>
          </w:tcPr>
          <w:p w14:paraId="7F80C90D" w14:textId="77777777" w:rsidR="0023072B" w:rsidRPr="008F3407" w:rsidDel="00453DC4" w:rsidRDefault="0023072B" w:rsidP="0023072B">
            <w:pPr>
              <w:pStyle w:val="ESVTablebody"/>
              <w:rPr>
                <w:lang w:eastAsia="en-AU"/>
              </w:rPr>
            </w:pPr>
            <w:r w:rsidRPr="008F3407" w:rsidDel="00453DC4">
              <w:rPr>
                <w:lang w:eastAsia="en-AU"/>
              </w:rPr>
              <w:t>Mansfield</w:t>
            </w:r>
          </w:p>
        </w:tc>
        <w:tc>
          <w:tcPr>
            <w:tcW w:w="406" w:type="pct"/>
            <w:tcBorders>
              <w:top w:val="nil"/>
              <w:left w:val="nil"/>
              <w:bottom w:val="nil"/>
              <w:right w:val="nil"/>
            </w:tcBorders>
            <w:shd w:val="clear" w:color="auto" w:fill="auto"/>
            <w:noWrap/>
            <w:vAlign w:val="bottom"/>
            <w:hideMark/>
          </w:tcPr>
          <w:p w14:paraId="0AADEF63" w14:textId="77777777" w:rsidR="0023072B" w:rsidRPr="008F3407" w:rsidDel="00453DC4" w:rsidRDefault="0023072B" w:rsidP="0023072B">
            <w:pPr>
              <w:pStyle w:val="ESVTablebody"/>
              <w:rPr>
                <w:lang w:eastAsia="en-AU"/>
              </w:rPr>
            </w:pPr>
            <w:r w:rsidRPr="008F3407" w:rsidDel="00453DC4">
              <w:rPr>
                <w:lang w:eastAsia="en-AU"/>
              </w:rPr>
              <w:t>MSD</w:t>
            </w:r>
          </w:p>
        </w:tc>
        <w:tc>
          <w:tcPr>
            <w:tcW w:w="478" w:type="pct"/>
            <w:tcBorders>
              <w:top w:val="nil"/>
              <w:left w:val="nil"/>
              <w:bottom w:val="nil"/>
              <w:right w:val="nil"/>
            </w:tcBorders>
            <w:shd w:val="clear" w:color="auto" w:fill="auto"/>
            <w:noWrap/>
            <w:vAlign w:val="bottom"/>
            <w:hideMark/>
          </w:tcPr>
          <w:p w14:paraId="4DC55F96" w14:textId="77777777" w:rsidR="0023072B" w:rsidRPr="008F3407" w:rsidDel="00453DC4" w:rsidRDefault="0023072B" w:rsidP="0023072B">
            <w:pPr>
              <w:pStyle w:val="ESVTablebody"/>
              <w:rPr>
                <w:lang w:eastAsia="en-AU"/>
              </w:rPr>
            </w:pPr>
            <w:r w:rsidRPr="008F3407" w:rsidDel="00453DC4">
              <w:rPr>
                <w:lang w:eastAsia="en-AU"/>
              </w:rPr>
              <w:t>2</w:t>
            </w:r>
          </w:p>
        </w:tc>
        <w:tc>
          <w:tcPr>
            <w:tcW w:w="441" w:type="pct"/>
            <w:tcBorders>
              <w:top w:val="nil"/>
              <w:left w:val="nil"/>
              <w:bottom w:val="nil"/>
              <w:right w:val="nil"/>
            </w:tcBorders>
            <w:shd w:val="clear" w:color="auto" w:fill="auto"/>
            <w:noWrap/>
            <w:vAlign w:val="bottom"/>
            <w:hideMark/>
          </w:tcPr>
          <w:p w14:paraId="27F0E74B" w14:textId="77777777" w:rsidR="0023072B" w:rsidRPr="008F3407" w:rsidDel="00453DC4" w:rsidRDefault="0023072B" w:rsidP="0023072B">
            <w:pPr>
              <w:pStyle w:val="ESVTablebody"/>
              <w:rPr>
                <w:lang w:eastAsia="en-AU"/>
              </w:rPr>
            </w:pPr>
            <w:r w:rsidRPr="008F3407" w:rsidDel="00453DC4">
              <w:rPr>
                <w:lang w:eastAsia="en-AU"/>
              </w:rPr>
              <w:t>2</w:t>
            </w:r>
          </w:p>
        </w:tc>
        <w:tc>
          <w:tcPr>
            <w:tcW w:w="1103" w:type="pct"/>
            <w:tcBorders>
              <w:top w:val="nil"/>
              <w:left w:val="nil"/>
              <w:bottom w:val="nil"/>
              <w:right w:val="nil"/>
            </w:tcBorders>
            <w:shd w:val="clear" w:color="000000" w:fill="C6EFCE"/>
            <w:noWrap/>
            <w:vAlign w:val="bottom"/>
            <w:hideMark/>
          </w:tcPr>
          <w:p w14:paraId="5FE5EE01" w14:textId="77777777" w:rsidR="0023072B" w:rsidRPr="008F3407" w:rsidDel="00453DC4" w:rsidRDefault="0023072B" w:rsidP="0023072B">
            <w:pPr>
              <w:pStyle w:val="ESVTablebody"/>
              <w:rPr>
                <w:color w:val="006100"/>
                <w:lang w:eastAsia="en-AU"/>
              </w:rPr>
            </w:pPr>
            <w:r w:rsidRPr="008F3407" w:rsidDel="00453DC4">
              <w:rPr>
                <w:color w:val="006100"/>
                <w:lang w:eastAsia="en-AU"/>
              </w:rPr>
              <w:t>Yes</w:t>
            </w:r>
          </w:p>
        </w:tc>
        <w:tc>
          <w:tcPr>
            <w:tcW w:w="1248" w:type="pct"/>
            <w:tcBorders>
              <w:top w:val="nil"/>
              <w:left w:val="nil"/>
              <w:bottom w:val="nil"/>
              <w:right w:val="nil"/>
            </w:tcBorders>
            <w:shd w:val="clear" w:color="000000" w:fill="C6EFCE"/>
            <w:noWrap/>
            <w:vAlign w:val="bottom"/>
            <w:hideMark/>
          </w:tcPr>
          <w:p w14:paraId="12E87A54" w14:textId="77777777" w:rsidR="0023072B" w:rsidRPr="008F3407" w:rsidDel="00453DC4" w:rsidRDefault="0023072B" w:rsidP="0023072B">
            <w:pPr>
              <w:pStyle w:val="ESVTablebody"/>
              <w:rPr>
                <w:color w:val="006100"/>
                <w:lang w:eastAsia="en-AU"/>
              </w:rPr>
            </w:pPr>
            <w:r w:rsidRPr="008F3407" w:rsidDel="00453DC4">
              <w:rPr>
                <w:color w:val="006100"/>
                <w:lang w:eastAsia="en-AU"/>
              </w:rPr>
              <w:t>Yes</w:t>
            </w:r>
          </w:p>
        </w:tc>
      </w:tr>
      <w:tr w:rsidR="00453DC4" w:rsidRPr="008F3407" w14:paraId="16025A03" w14:textId="77777777" w:rsidTr="00660470">
        <w:trPr>
          <w:trHeight w:val="300"/>
        </w:trPr>
        <w:tc>
          <w:tcPr>
            <w:tcW w:w="1324" w:type="pct"/>
            <w:tcBorders>
              <w:top w:val="nil"/>
              <w:left w:val="nil"/>
              <w:bottom w:val="nil"/>
              <w:right w:val="nil"/>
            </w:tcBorders>
            <w:shd w:val="clear" w:color="auto" w:fill="auto"/>
            <w:noWrap/>
            <w:vAlign w:val="bottom"/>
            <w:hideMark/>
          </w:tcPr>
          <w:p w14:paraId="338A7FB1" w14:textId="77777777" w:rsidR="0023072B" w:rsidRPr="008F3407" w:rsidRDefault="0023072B" w:rsidP="0023072B">
            <w:pPr>
              <w:pStyle w:val="ESVTablebody"/>
              <w:rPr>
                <w:lang w:eastAsia="en-AU"/>
              </w:rPr>
            </w:pPr>
            <w:r w:rsidRPr="008F3407">
              <w:rPr>
                <w:lang w:eastAsia="en-AU"/>
              </w:rPr>
              <w:t>Moe</w:t>
            </w:r>
          </w:p>
        </w:tc>
        <w:tc>
          <w:tcPr>
            <w:tcW w:w="406" w:type="pct"/>
            <w:tcBorders>
              <w:top w:val="nil"/>
              <w:left w:val="nil"/>
              <w:bottom w:val="nil"/>
              <w:right w:val="nil"/>
            </w:tcBorders>
            <w:shd w:val="clear" w:color="auto" w:fill="auto"/>
            <w:noWrap/>
            <w:vAlign w:val="bottom"/>
            <w:hideMark/>
          </w:tcPr>
          <w:p w14:paraId="635165C4" w14:textId="77777777" w:rsidR="0023072B" w:rsidRPr="008F3407" w:rsidRDefault="0023072B" w:rsidP="0023072B">
            <w:pPr>
              <w:pStyle w:val="ESVTablebody"/>
              <w:rPr>
                <w:lang w:eastAsia="en-AU"/>
              </w:rPr>
            </w:pPr>
            <w:r w:rsidRPr="008F3407">
              <w:rPr>
                <w:lang w:eastAsia="en-AU"/>
              </w:rPr>
              <w:t>MOE</w:t>
            </w:r>
          </w:p>
        </w:tc>
        <w:tc>
          <w:tcPr>
            <w:tcW w:w="478" w:type="pct"/>
            <w:tcBorders>
              <w:top w:val="nil"/>
              <w:left w:val="nil"/>
              <w:bottom w:val="nil"/>
              <w:right w:val="nil"/>
            </w:tcBorders>
            <w:shd w:val="clear" w:color="auto" w:fill="auto"/>
            <w:noWrap/>
            <w:vAlign w:val="bottom"/>
            <w:hideMark/>
          </w:tcPr>
          <w:p w14:paraId="44BA0072" w14:textId="77777777" w:rsidR="0023072B" w:rsidRPr="008F3407" w:rsidRDefault="0023072B" w:rsidP="0023072B">
            <w:pPr>
              <w:pStyle w:val="ESVTablebody"/>
              <w:rPr>
                <w:lang w:eastAsia="en-AU"/>
              </w:rPr>
            </w:pPr>
            <w:r w:rsidRPr="008F3407">
              <w:rPr>
                <w:lang w:eastAsia="en-AU"/>
              </w:rPr>
              <w:t>2</w:t>
            </w:r>
          </w:p>
        </w:tc>
        <w:tc>
          <w:tcPr>
            <w:tcW w:w="441" w:type="pct"/>
            <w:tcBorders>
              <w:top w:val="nil"/>
              <w:left w:val="nil"/>
              <w:bottom w:val="nil"/>
              <w:right w:val="nil"/>
            </w:tcBorders>
            <w:shd w:val="clear" w:color="auto" w:fill="auto"/>
            <w:noWrap/>
            <w:vAlign w:val="bottom"/>
            <w:hideMark/>
          </w:tcPr>
          <w:p w14:paraId="2EAFF300" w14:textId="77777777" w:rsidR="0023072B" w:rsidRPr="008F3407" w:rsidRDefault="0023072B" w:rsidP="0023072B">
            <w:pPr>
              <w:pStyle w:val="ESVTablebody"/>
              <w:rPr>
                <w:lang w:eastAsia="en-AU"/>
              </w:rPr>
            </w:pPr>
            <w:r w:rsidRPr="008F3407">
              <w:rPr>
                <w:lang w:eastAsia="en-AU"/>
              </w:rPr>
              <w:t>3</w:t>
            </w:r>
          </w:p>
        </w:tc>
        <w:tc>
          <w:tcPr>
            <w:tcW w:w="1103" w:type="pct"/>
            <w:tcBorders>
              <w:top w:val="nil"/>
              <w:left w:val="nil"/>
              <w:bottom w:val="nil"/>
              <w:right w:val="nil"/>
            </w:tcBorders>
            <w:shd w:val="clear" w:color="000000" w:fill="C6EFCE"/>
            <w:noWrap/>
            <w:vAlign w:val="bottom"/>
            <w:hideMark/>
          </w:tcPr>
          <w:p w14:paraId="2F0A1BD2" w14:textId="77777777" w:rsidR="0023072B" w:rsidRPr="008F3407" w:rsidRDefault="0023072B" w:rsidP="0023072B">
            <w:pPr>
              <w:pStyle w:val="ESVTablebody"/>
              <w:rPr>
                <w:color w:val="006100"/>
                <w:lang w:eastAsia="en-AU"/>
              </w:rPr>
            </w:pPr>
            <w:r w:rsidRPr="008F3407">
              <w:rPr>
                <w:color w:val="006100"/>
                <w:lang w:eastAsia="en-AU"/>
              </w:rPr>
              <w:t>Yes</w:t>
            </w:r>
          </w:p>
        </w:tc>
        <w:tc>
          <w:tcPr>
            <w:tcW w:w="1248" w:type="pct"/>
            <w:tcBorders>
              <w:top w:val="nil"/>
              <w:left w:val="nil"/>
              <w:bottom w:val="nil"/>
              <w:right w:val="nil"/>
            </w:tcBorders>
            <w:shd w:val="clear" w:color="000000" w:fill="C6EFCE"/>
            <w:noWrap/>
            <w:vAlign w:val="bottom"/>
            <w:hideMark/>
          </w:tcPr>
          <w:p w14:paraId="31DA1271" w14:textId="77777777" w:rsidR="0023072B" w:rsidRPr="008F3407" w:rsidRDefault="0023072B" w:rsidP="0023072B">
            <w:pPr>
              <w:pStyle w:val="ESVTablebody"/>
              <w:rPr>
                <w:color w:val="006100"/>
                <w:lang w:eastAsia="en-AU"/>
              </w:rPr>
            </w:pPr>
            <w:r w:rsidRPr="008F3407">
              <w:rPr>
                <w:color w:val="006100"/>
                <w:lang w:eastAsia="en-AU"/>
              </w:rPr>
              <w:t>Yes</w:t>
            </w:r>
          </w:p>
        </w:tc>
      </w:tr>
      <w:tr w:rsidR="00453DC4" w:rsidRPr="008F3407" w14:paraId="308681CE" w14:textId="77777777" w:rsidTr="00660470">
        <w:trPr>
          <w:trHeight w:val="300"/>
        </w:trPr>
        <w:tc>
          <w:tcPr>
            <w:tcW w:w="1324" w:type="pct"/>
            <w:tcBorders>
              <w:top w:val="nil"/>
              <w:left w:val="nil"/>
              <w:bottom w:val="nil"/>
              <w:right w:val="nil"/>
            </w:tcBorders>
            <w:shd w:val="clear" w:color="auto" w:fill="auto"/>
            <w:noWrap/>
            <w:vAlign w:val="bottom"/>
            <w:hideMark/>
          </w:tcPr>
          <w:p w14:paraId="7343DA36" w14:textId="77777777" w:rsidR="0023072B" w:rsidRPr="008F3407" w:rsidRDefault="0023072B" w:rsidP="0023072B">
            <w:pPr>
              <w:pStyle w:val="ESVTablebody"/>
              <w:rPr>
                <w:lang w:eastAsia="en-AU"/>
              </w:rPr>
            </w:pPr>
            <w:r w:rsidRPr="008F3407">
              <w:rPr>
                <w:lang w:eastAsia="en-AU"/>
              </w:rPr>
              <w:t>Ringwood North</w:t>
            </w:r>
          </w:p>
        </w:tc>
        <w:tc>
          <w:tcPr>
            <w:tcW w:w="406" w:type="pct"/>
            <w:tcBorders>
              <w:top w:val="nil"/>
              <w:left w:val="nil"/>
              <w:bottom w:val="nil"/>
              <w:right w:val="nil"/>
            </w:tcBorders>
            <w:shd w:val="clear" w:color="auto" w:fill="auto"/>
            <w:noWrap/>
            <w:vAlign w:val="bottom"/>
            <w:hideMark/>
          </w:tcPr>
          <w:p w14:paraId="0D174182" w14:textId="77777777" w:rsidR="0023072B" w:rsidRPr="008F3407" w:rsidRDefault="0023072B" w:rsidP="0023072B">
            <w:pPr>
              <w:pStyle w:val="ESVTablebody"/>
              <w:rPr>
                <w:lang w:eastAsia="en-AU"/>
              </w:rPr>
            </w:pPr>
            <w:r w:rsidRPr="008F3407">
              <w:rPr>
                <w:lang w:eastAsia="en-AU"/>
              </w:rPr>
              <w:t>RWN</w:t>
            </w:r>
          </w:p>
        </w:tc>
        <w:tc>
          <w:tcPr>
            <w:tcW w:w="478" w:type="pct"/>
            <w:tcBorders>
              <w:top w:val="nil"/>
              <w:left w:val="nil"/>
              <w:bottom w:val="nil"/>
              <w:right w:val="nil"/>
            </w:tcBorders>
            <w:shd w:val="clear" w:color="auto" w:fill="auto"/>
            <w:noWrap/>
            <w:vAlign w:val="bottom"/>
            <w:hideMark/>
          </w:tcPr>
          <w:p w14:paraId="5038BD51" w14:textId="77777777" w:rsidR="0023072B" w:rsidRPr="008F3407" w:rsidRDefault="0023072B" w:rsidP="0023072B">
            <w:pPr>
              <w:pStyle w:val="ESVTablebody"/>
              <w:rPr>
                <w:lang w:eastAsia="en-AU"/>
              </w:rPr>
            </w:pPr>
            <w:r w:rsidRPr="008F3407">
              <w:rPr>
                <w:lang w:eastAsia="en-AU"/>
              </w:rPr>
              <w:t>2</w:t>
            </w:r>
          </w:p>
        </w:tc>
        <w:tc>
          <w:tcPr>
            <w:tcW w:w="441" w:type="pct"/>
            <w:tcBorders>
              <w:top w:val="nil"/>
              <w:left w:val="nil"/>
              <w:bottom w:val="nil"/>
              <w:right w:val="nil"/>
            </w:tcBorders>
            <w:shd w:val="clear" w:color="auto" w:fill="auto"/>
            <w:noWrap/>
            <w:vAlign w:val="bottom"/>
            <w:hideMark/>
          </w:tcPr>
          <w:p w14:paraId="2BC3A2E5" w14:textId="77777777" w:rsidR="0023072B" w:rsidRPr="008F3407" w:rsidRDefault="0023072B" w:rsidP="0023072B">
            <w:pPr>
              <w:pStyle w:val="ESVTablebody"/>
              <w:rPr>
                <w:lang w:eastAsia="en-AU"/>
              </w:rPr>
            </w:pPr>
            <w:r w:rsidRPr="008F3407">
              <w:rPr>
                <w:lang w:eastAsia="en-AU"/>
              </w:rPr>
              <w:t>2</w:t>
            </w:r>
          </w:p>
        </w:tc>
        <w:tc>
          <w:tcPr>
            <w:tcW w:w="1103" w:type="pct"/>
            <w:tcBorders>
              <w:top w:val="nil"/>
              <w:left w:val="nil"/>
              <w:bottom w:val="nil"/>
              <w:right w:val="nil"/>
            </w:tcBorders>
            <w:shd w:val="clear" w:color="000000" w:fill="C6EFCE"/>
            <w:noWrap/>
            <w:vAlign w:val="bottom"/>
            <w:hideMark/>
          </w:tcPr>
          <w:p w14:paraId="0B4CF633" w14:textId="77777777" w:rsidR="0023072B" w:rsidRPr="008F3407" w:rsidRDefault="0023072B" w:rsidP="0023072B">
            <w:pPr>
              <w:pStyle w:val="ESVTablebody"/>
              <w:rPr>
                <w:color w:val="006100"/>
                <w:lang w:eastAsia="en-AU"/>
              </w:rPr>
            </w:pPr>
            <w:r w:rsidRPr="008F3407">
              <w:rPr>
                <w:color w:val="006100"/>
                <w:lang w:eastAsia="en-AU"/>
              </w:rPr>
              <w:t>Yes</w:t>
            </w:r>
          </w:p>
        </w:tc>
        <w:tc>
          <w:tcPr>
            <w:tcW w:w="1248" w:type="pct"/>
            <w:tcBorders>
              <w:top w:val="nil"/>
              <w:left w:val="nil"/>
              <w:bottom w:val="nil"/>
              <w:right w:val="nil"/>
            </w:tcBorders>
            <w:shd w:val="clear" w:color="000000" w:fill="C6EFCE"/>
            <w:noWrap/>
            <w:vAlign w:val="bottom"/>
            <w:hideMark/>
          </w:tcPr>
          <w:p w14:paraId="228DAF30" w14:textId="77777777" w:rsidR="0023072B" w:rsidRPr="008F3407" w:rsidRDefault="0023072B" w:rsidP="0023072B">
            <w:pPr>
              <w:pStyle w:val="ESVTablebody"/>
              <w:rPr>
                <w:color w:val="006100"/>
                <w:lang w:eastAsia="en-AU"/>
              </w:rPr>
            </w:pPr>
            <w:r w:rsidRPr="008F3407">
              <w:rPr>
                <w:color w:val="006100"/>
                <w:lang w:eastAsia="en-AU"/>
              </w:rPr>
              <w:t>Yes</w:t>
            </w:r>
          </w:p>
        </w:tc>
      </w:tr>
      <w:tr w:rsidR="00453DC4" w:rsidRPr="008F3407" w:rsidDel="00453DC4" w14:paraId="770E6373" w14:textId="77777777" w:rsidTr="00660470">
        <w:trPr>
          <w:trHeight w:val="300"/>
        </w:trPr>
        <w:tc>
          <w:tcPr>
            <w:tcW w:w="1324" w:type="pct"/>
            <w:tcBorders>
              <w:top w:val="nil"/>
              <w:left w:val="nil"/>
              <w:bottom w:val="single" w:sz="4" w:space="0" w:color="auto"/>
              <w:right w:val="nil"/>
            </w:tcBorders>
            <w:shd w:val="clear" w:color="auto" w:fill="auto"/>
            <w:noWrap/>
            <w:vAlign w:val="bottom"/>
            <w:hideMark/>
          </w:tcPr>
          <w:p w14:paraId="332E8C9C" w14:textId="77777777" w:rsidR="0023072B" w:rsidRPr="008F3407" w:rsidDel="00453DC4" w:rsidRDefault="0023072B" w:rsidP="0023072B">
            <w:pPr>
              <w:pStyle w:val="ESVTablebody"/>
              <w:rPr>
                <w:lang w:eastAsia="en-AU"/>
              </w:rPr>
            </w:pPr>
            <w:r w:rsidRPr="008F3407" w:rsidDel="00453DC4">
              <w:rPr>
                <w:lang w:eastAsia="en-AU"/>
              </w:rPr>
              <w:t>Wonthaggi</w:t>
            </w:r>
          </w:p>
        </w:tc>
        <w:tc>
          <w:tcPr>
            <w:tcW w:w="406" w:type="pct"/>
            <w:tcBorders>
              <w:top w:val="nil"/>
              <w:left w:val="nil"/>
              <w:bottom w:val="single" w:sz="4" w:space="0" w:color="auto"/>
              <w:right w:val="nil"/>
            </w:tcBorders>
            <w:shd w:val="clear" w:color="auto" w:fill="auto"/>
            <w:noWrap/>
            <w:vAlign w:val="bottom"/>
            <w:hideMark/>
          </w:tcPr>
          <w:p w14:paraId="1BD50F2C" w14:textId="77777777" w:rsidR="0023072B" w:rsidRPr="008F3407" w:rsidDel="00453DC4" w:rsidRDefault="0023072B" w:rsidP="0023072B">
            <w:pPr>
              <w:pStyle w:val="ESVTablebody"/>
              <w:rPr>
                <w:lang w:eastAsia="en-AU"/>
              </w:rPr>
            </w:pPr>
            <w:r w:rsidRPr="008F3407" w:rsidDel="00453DC4">
              <w:rPr>
                <w:lang w:eastAsia="en-AU"/>
              </w:rPr>
              <w:t>WGI</w:t>
            </w:r>
          </w:p>
        </w:tc>
        <w:tc>
          <w:tcPr>
            <w:tcW w:w="478" w:type="pct"/>
            <w:tcBorders>
              <w:top w:val="nil"/>
              <w:left w:val="nil"/>
              <w:bottom w:val="single" w:sz="4" w:space="0" w:color="auto"/>
              <w:right w:val="nil"/>
            </w:tcBorders>
            <w:shd w:val="clear" w:color="auto" w:fill="auto"/>
            <w:noWrap/>
            <w:vAlign w:val="bottom"/>
            <w:hideMark/>
          </w:tcPr>
          <w:p w14:paraId="57B3BDEF" w14:textId="77777777" w:rsidR="0023072B" w:rsidRPr="008F3407" w:rsidDel="00453DC4" w:rsidRDefault="0023072B" w:rsidP="0023072B">
            <w:pPr>
              <w:pStyle w:val="ESVTablebody"/>
              <w:rPr>
                <w:lang w:eastAsia="en-AU"/>
              </w:rPr>
            </w:pPr>
            <w:r w:rsidRPr="008F3407" w:rsidDel="00453DC4">
              <w:rPr>
                <w:lang w:eastAsia="en-AU"/>
              </w:rPr>
              <w:t>2</w:t>
            </w:r>
          </w:p>
        </w:tc>
        <w:tc>
          <w:tcPr>
            <w:tcW w:w="441" w:type="pct"/>
            <w:tcBorders>
              <w:top w:val="nil"/>
              <w:left w:val="nil"/>
              <w:bottom w:val="single" w:sz="4" w:space="0" w:color="auto"/>
              <w:right w:val="nil"/>
            </w:tcBorders>
            <w:shd w:val="clear" w:color="auto" w:fill="auto"/>
            <w:noWrap/>
            <w:vAlign w:val="bottom"/>
            <w:hideMark/>
          </w:tcPr>
          <w:p w14:paraId="258A6772" w14:textId="77777777" w:rsidR="0023072B" w:rsidRPr="008F3407" w:rsidDel="00453DC4" w:rsidRDefault="0023072B" w:rsidP="0023072B">
            <w:pPr>
              <w:pStyle w:val="ESVTablebody"/>
              <w:rPr>
                <w:lang w:eastAsia="en-AU"/>
              </w:rPr>
            </w:pPr>
            <w:r w:rsidRPr="008F3407" w:rsidDel="00453DC4">
              <w:rPr>
                <w:lang w:eastAsia="en-AU"/>
              </w:rPr>
              <w:t>1</w:t>
            </w:r>
          </w:p>
        </w:tc>
        <w:tc>
          <w:tcPr>
            <w:tcW w:w="1103" w:type="pct"/>
            <w:tcBorders>
              <w:top w:val="nil"/>
              <w:left w:val="nil"/>
              <w:bottom w:val="single" w:sz="4" w:space="0" w:color="auto"/>
              <w:right w:val="nil"/>
            </w:tcBorders>
            <w:shd w:val="clear" w:color="000000" w:fill="C6EFCE"/>
            <w:noWrap/>
            <w:vAlign w:val="bottom"/>
            <w:hideMark/>
          </w:tcPr>
          <w:p w14:paraId="49AF504A" w14:textId="77777777" w:rsidR="0023072B" w:rsidRPr="008F3407" w:rsidDel="00453DC4" w:rsidRDefault="0023072B" w:rsidP="0023072B">
            <w:pPr>
              <w:pStyle w:val="ESVTablebody"/>
              <w:rPr>
                <w:color w:val="006100"/>
                <w:lang w:eastAsia="en-AU"/>
              </w:rPr>
            </w:pPr>
            <w:r w:rsidRPr="008F3407" w:rsidDel="00453DC4">
              <w:rPr>
                <w:color w:val="006100"/>
                <w:lang w:eastAsia="en-AU"/>
              </w:rPr>
              <w:t>Yes</w:t>
            </w:r>
          </w:p>
        </w:tc>
        <w:tc>
          <w:tcPr>
            <w:tcW w:w="1248" w:type="pct"/>
            <w:tcBorders>
              <w:top w:val="nil"/>
              <w:left w:val="nil"/>
              <w:bottom w:val="single" w:sz="4" w:space="0" w:color="auto"/>
              <w:right w:val="nil"/>
            </w:tcBorders>
            <w:shd w:val="clear" w:color="000000" w:fill="C6EFCE"/>
            <w:noWrap/>
            <w:vAlign w:val="bottom"/>
            <w:hideMark/>
          </w:tcPr>
          <w:p w14:paraId="65A7F27C" w14:textId="77777777" w:rsidR="0023072B" w:rsidRPr="008F3407" w:rsidDel="00453DC4" w:rsidRDefault="0023072B" w:rsidP="0023072B">
            <w:pPr>
              <w:pStyle w:val="ESVTablebody"/>
              <w:rPr>
                <w:color w:val="006100"/>
                <w:lang w:eastAsia="en-AU"/>
              </w:rPr>
            </w:pPr>
            <w:r w:rsidRPr="008F3407" w:rsidDel="00453DC4">
              <w:rPr>
                <w:color w:val="006100"/>
                <w:lang w:eastAsia="en-AU"/>
              </w:rPr>
              <w:t>Yes</w:t>
            </w:r>
          </w:p>
        </w:tc>
      </w:tr>
      <w:tr w:rsidR="00453DC4" w:rsidRPr="00AD259D" w14:paraId="5ABC23C3" w14:textId="77777777" w:rsidTr="00660470">
        <w:trPr>
          <w:trHeight w:val="300"/>
        </w:trPr>
        <w:tc>
          <w:tcPr>
            <w:tcW w:w="1324" w:type="pct"/>
            <w:tcBorders>
              <w:top w:val="nil"/>
              <w:left w:val="nil"/>
              <w:bottom w:val="single" w:sz="4" w:space="0" w:color="auto"/>
              <w:right w:val="nil"/>
            </w:tcBorders>
            <w:shd w:val="clear" w:color="auto" w:fill="auto"/>
            <w:noWrap/>
            <w:vAlign w:val="bottom"/>
            <w:hideMark/>
          </w:tcPr>
          <w:p w14:paraId="7E0A1BE6" w14:textId="3EF6A833" w:rsidR="0023072B" w:rsidRPr="008D0B99" w:rsidRDefault="0023072B" w:rsidP="00B42E1F">
            <w:pPr>
              <w:pStyle w:val="ESVTablebody"/>
              <w:rPr>
                <w:b/>
                <w:vertAlign w:val="superscript"/>
                <w:lang w:eastAsia="en-AU"/>
              </w:rPr>
            </w:pPr>
            <w:r w:rsidRPr="00AD259D">
              <w:rPr>
                <w:b/>
                <w:lang w:eastAsia="en-AU"/>
              </w:rPr>
              <w:t>Tranche 2 (1 Nov 2022)</w:t>
            </w:r>
            <w:r w:rsidR="00B42E1F">
              <w:rPr>
                <w:b/>
                <w:vertAlign w:val="superscript"/>
                <w:lang w:eastAsia="en-AU"/>
              </w:rPr>
              <w:t>2</w:t>
            </w:r>
          </w:p>
        </w:tc>
        <w:tc>
          <w:tcPr>
            <w:tcW w:w="884" w:type="pct"/>
            <w:gridSpan w:val="2"/>
            <w:tcBorders>
              <w:top w:val="single" w:sz="4" w:space="0" w:color="auto"/>
              <w:left w:val="nil"/>
              <w:bottom w:val="single" w:sz="4" w:space="0" w:color="auto"/>
              <w:right w:val="nil"/>
            </w:tcBorders>
            <w:shd w:val="clear" w:color="auto" w:fill="auto"/>
            <w:noWrap/>
            <w:vAlign w:val="bottom"/>
            <w:hideMark/>
          </w:tcPr>
          <w:p w14:paraId="64DD40C3" w14:textId="77777777" w:rsidR="0023072B" w:rsidRPr="00AD259D" w:rsidRDefault="0023072B" w:rsidP="0023072B">
            <w:pPr>
              <w:pStyle w:val="ESVTablebody"/>
              <w:rPr>
                <w:b/>
                <w:lang w:eastAsia="en-AU"/>
              </w:rPr>
            </w:pPr>
          </w:p>
        </w:tc>
        <w:tc>
          <w:tcPr>
            <w:tcW w:w="441" w:type="pct"/>
            <w:tcBorders>
              <w:top w:val="nil"/>
              <w:left w:val="nil"/>
              <w:bottom w:val="single" w:sz="4" w:space="0" w:color="auto"/>
              <w:right w:val="nil"/>
            </w:tcBorders>
            <w:shd w:val="clear" w:color="auto" w:fill="auto"/>
            <w:noWrap/>
            <w:vAlign w:val="bottom"/>
            <w:hideMark/>
          </w:tcPr>
          <w:p w14:paraId="170A5C92" w14:textId="77777777" w:rsidR="0023072B" w:rsidRPr="00AD259D" w:rsidRDefault="0023072B" w:rsidP="0023072B">
            <w:pPr>
              <w:pStyle w:val="ESVTablebody"/>
              <w:rPr>
                <w:b/>
                <w:lang w:eastAsia="en-AU"/>
              </w:rPr>
            </w:pPr>
            <w:r w:rsidRPr="00AD259D">
              <w:rPr>
                <w:b/>
                <w:lang w:eastAsia="en-AU"/>
              </w:rPr>
              <w:t>23</w:t>
            </w:r>
          </w:p>
        </w:tc>
        <w:tc>
          <w:tcPr>
            <w:tcW w:w="1103" w:type="pct"/>
            <w:tcBorders>
              <w:top w:val="nil"/>
              <w:left w:val="nil"/>
              <w:bottom w:val="single" w:sz="4" w:space="0" w:color="auto"/>
              <w:right w:val="nil"/>
            </w:tcBorders>
            <w:shd w:val="clear" w:color="auto" w:fill="C6EFCE"/>
            <w:noWrap/>
            <w:vAlign w:val="bottom"/>
            <w:hideMark/>
          </w:tcPr>
          <w:p w14:paraId="038E1DD1" w14:textId="77777777" w:rsidR="0023072B" w:rsidRPr="00CF6BFF" w:rsidRDefault="0023072B" w:rsidP="0023072B">
            <w:pPr>
              <w:pStyle w:val="ESVTablebody"/>
              <w:rPr>
                <w:b/>
                <w:color w:val="006100"/>
                <w:lang w:eastAsia="en-AU"/>
              </w:rPr>
            </w:pPr>
            <w:r w:rsidRPr="00CF6BFF">
              <w:rPr>
                <w:b/>
                <w:color w:val="006100"/>
                <w:lang w:eastAsia="en-AU"/>
              </w:rPr>
              <w:t>23</w:t>
            </w:r>
          </w:p>
        </w:tc>
        <w:tc>
          <w:tcPr>
            <w:tcW w:w="1248" w:type="pct"/>
            <w:tcBorders>
              <w:top w:val="nil"/>
              <w:left w:val="nil"/>
              <w:bottom w:val="single" w:sz="4" w:space="0" w:color="auto"/>
              <w:right w:val="nil"/>
            </w:tcBorders>
            <w:shd w:val="clear" w:color="auto" w:fill="C6EFCE"/>
            <w:noWrap/>
            <w:vAlign w:val="bottom"/>
            <w:hideMark/>
          </w:tcPr>
          <w:p w14:paraId="7E1A870E" w14:textId="77777777" w:rsidR="0023072B" w:rsidRPr="00CF6BFF" w:rsidRDefault="0023072B" w:rsidP="00BA4293">
            <w:pPr>
              <w:pStyle w:val="ESVTablebody"/>
              <w:rPr>
                <w:b/>
                <w:color w:val="006100"/>
                <w:lang w:eastAsia="en-AU"/>
              </w:rPr>
            </w:pPr>
            <w:r w:rsidRPr="00CF6BFF">
              <w:rPr>
                <w:b/>
                <w:color w:val="006100"/>
                <w:lang w:eastAsia="en-AU"/>
              </w:rPr>
              <w:t>23</w:t>
            </w:r>
          </w:p>
        </w:tc>
      </w:tr>
      <w:tr w:rsidR="000231D2" w:rsidRPr="008F3407" w14:paraId="5CB241F4" w14:textId="77777777" w:rsidTr="00BE3F2D">
        <w:trPr>
          <w:trHeight w:val="300"/>
        </w:trPr>
        <w:tc>
          <w:tcPr>
            <w:tcW w:w="1324" w:type="pct"/>
            <w:tcBorders>
              <w:top w:val="nil"/>
              <w:left w:val="nil"/>
              <w:bottom w:val="nil"/>
              <w:right w:val="nil"/>
            </w:tcBorders>
            <w:shd w:val="clear" w:color="auto" w:fill="auto"/>
            <w:noWrap/>
            <w:vAlign w:val="bottom"/>
            <w:hideMark/>
          </w:tcPr>
          <w:p w14:paraId="7EB4DD75" w14:textId="77777777" w:rsidR="000231D2" w:rsidRPr="008F3407" w:rsidRDefault="000231D2" w:rsidP="000231D2">
            <w:pPr>
              <w:pStyle w:val="ESVTablebody"/>
              <w:rPr>
                <w:lang w:eastAsia="en-AU"/>
              </w:rPr>
            </w:pPr>
            <w:r w:rsidRPr="008F3407">
              <w:rPr>
                <w:lang w:eastAsia="en-AU"/>
              </w:rPr>
              <w:t>Benalla</w:t>
            </w:r>
          </w:p>
        </w:tc>
        <w:tc>
          <w:tcPr>
            <w:tcW w:w="406" w:type="pct"/>
            <w:tcBorders>
              <w:top w:val="nil"/>
              <w:left w:val="nil"/>
              <w:bottom w:val="nil"/>
              <w:right w:val="nil"/>
            </w:tcBorders>
            <w:shd w:val="clear" w:color="auto" w:fill="auto"/>
            <w:noWrap/>
            <w:vAlign w:val="bottom"/>
            <w:hideMark/>
          </w:tcPr>
          <w:p w14:paraId="7BA0C7BD" w14:textId="77777777" w:rsidR="000231D2" w:rsidRPr="008F3407" w:rsidRDefault="000231D2" w:rsidP="000231D2">
            <w:pPr>
              <w:pStyle w:val="ESVTablebody"/>
              <w:rPr>
                <w:lang w:eastAsia="en-AU"/>
              </w:rPr>
            </w:pPr>
            <w:r w:rsidRPr="008F3407">
              <w:rPr>
                <w:lang w:eastAsia="en-AU"/>
              </w:rPr>
              <w:t>BN</w:t>
            </w:r>
          </w:p>
        </w:tc>
        <w:tc>
          <w:tcPr>
            <w:tcW w:w="478" w:type="pct"/>
            <w:tcBorders>
              <w:top w:val="nil"/>
              <w:left w:val="nil"/>
              <w:bottom w:val="nil"/>
              <w:right w:val="nil"/>
            </w:tcBorders>
            <w:shd w:val="clear" w:color="auto" w:fill="auto"/>
            <w:noWrap/>
            <w:vAlign w:val="bottom"/>
            <w:hideMark/>
          </w:tcPr>
          <w:p w14:paraId="621B8FC6" w14:textId="77777777" w:rsidR="000231D2" w:rsidRPr="008F3407" w:rsidRDefault="000231D2" w:rsidP="000231D2">
            <w:pPr>
              <w:pStyle w:val="ESVTablebody"/>
              <w:rPr>
                <w:lang w:eastAsia="en-AU"/>
              </w:rPr>
            </w:pPr>
            <w:r w:rsidRPr="008F3407">
              <w:rPr>
                <w:lang w:eastAsia="en-AU"/>
              </w:rPr>
              <w:t>3</w:t>
            </w:r>
          </w:p>
        </w:tc>
        <w:tc>
          <w:tcPr>
            <w:tcW w:w="441" w:type="pct"/>
            <w:tcBorders>
              <w:top w:val="nil"/>
              <w:left w:val="nil"/>
              <w:bottom w:val="nil"/>
              <w:right w:val="nil"/>
            </w:tcBorders>
            <w:shd w:val="clear" w:color="auto" w:fill="auto"/>
            <w:noWrap/>
            <w:vAlign w:val="bottom"/>
            <w:hideMark/>
          </w:tcPr>
          <w:p w14:paraId="56679158" w14:textId="77777777" w:rsidR="000231D2" w:rsidRPr="008F3407" w:rsidRDefault="000231D2" w:rsidP="000231D2">
            <w:pPr>
              <w:pStyle w:val="ESVTablebody"/>
              <w:rPr>
                <w:lang w:eastAsia="en-AU"/>
              </w:rPr>
            </w:pPr>
            <w:r w:rsidRPr="008F3407">
              <w:rPr>
                <w:lang w:eastAsia="en-AU"/>
              </w:rPr>
              <w:t>2</w:t>
            </w:r>
          </w:p>
        </w:tc>
        <w:tc>
          <w:tcPr>
            <w:tcW w:w="1103" w:type="pct"/>
            <w:tcBorders>
              <w:top w:val="nil"/>
              <w:left w:val="nil"/>
              <w:bottom w:val="nil"/>
              <w:right w:val="nil"/>
            </w:tcBorders>
            <w:shd w:val="clear" w:color="auto" w:fill="C6ECD0"/>
            <w:noWrap/>
            <w:vAlign w:val="bottom"/>
            <w:hideMark/>
          </w:tcPr>
          <w:p w14:paraId="5E3FC4D1" w14:textId="76276419" w:rsidR="000231D2" w:rsidRPr="008F3407" w:rsidRDefault="000231D2" w:rsidP="000231D2">
            <w:pPr>
              <w:pStyle w:val="ESVTablebody"/>
              <w:rPr>
                <w:color w:val="9C6500"/>
                <w:lang w:eastAsia="en-AU"/>
              </w:rPr>
            </w:pPr>
            <w:r w:rsidRPr="008F3407" w:rsidDel="00A84703">
              <w:rPr>
                <w:color w:val="006100"/>
                <w:lang w:eastAsia="en-AU"/>
              </w:rPr>
              <w:t>Yes</w:t>
            </w:r>
          </w:p>
        </w:tc>
        <w:tc>
          <w:tcPr>
            <w:tcW w:w="1248" w:type="pct"/>
            <w:tcBorders>
              <w:top w:val="nil"/>
              <w:left w:val="nil"/>
              <w:bottom w:val="nil"/>
              <w:right w:val="nil"/>
            </w:tcBorders>
            <w:shd w:val="clear" w:color="auto" w:fill="C6ECD0"/>
            <w:noWrap/>
            <w:vAlign w:val="bottom"/>
            <w:hideMark/>
          </w:tcPr>
          <w:p w14:paraId="4F6E7CB0" w14:textId="603801C0" w:rsidR="000231D2" w:rsidRPr="008F3407" w:rsidRDefault="000231D2" w:rsidP="000231D2">
            <w:pPr>
              <w:pStyle w:val="ESVTablebody"/>
              <w:rPr>
                <w:color w:val="9C6500"/>
                <w:lang w:eastAsia="en-AU"/>
              </w:rPr>
            </w:pPr>
            <w:r w:rsidRPr="008F3407" w:rsidDel="00A84703">
              <w:rPr>
                <w:color w:val="006100"/>
                <w:lang w:eastAsia="en-AU"/>
              </w:rPr>
              <w:t>Yes</w:t>
            </w:r>
          </w:p>
        </w:tc>
      </w:tr>
      <w:tr w:rsidR="00CC52DA" w:rsidRPr="008F3407" w14:paraId="467BBC86" w14:textId="77777777" w:rsidTr="00BE3F2D">
        <w:trPr>
          <w:trHeight w:val="300"/>
        </w:trPr>
        <w:tc>
          <w:tcPr>
            <w:tcW w:w="1324" w:type="pct"/>
            <w:tcBorders>
              <w:top w:val="nil"/>
              <w:left w:val="nil"/>
              <w:bottom w:val="nil"/>
              <w:right w:val="nil"/>
            </w:tcBorders>
            <w:shd w:val="clear" w:color="auto" w:fill="auto"/>
            <w:noWrap/>
            <w:vAlign w:val="bottom"/>
            <w:hideMark/>
          </w:tcPr>
          <w:p w14:paraId="3D991B90" w14:textId="77777777" w:rsidR="00CC52DA" w:rsidRPr="008F3407" w:rsidRDefault="00CC52DA" w:rsidP="00CC52DA">
            <w:pPr>
              <w:pStyle w:val="ESVTablebody"/>
              <w:rPr>
                <w:lang w:eastAsia="en-AU"/>
              </w:rPr>
            </w:pPr>
            <w:r w:rsidRPr="008F3407">
              <w:rPr>
                <w:lang w:eastAsia="en-AU"/>
              </w:rPr>
              <w:t>Kalkallo</w:t>
            </w:r>
          </w:p>
        </w:tc>
        <w:tc>
          <w:tcPr>
            <w:tcW w:w="406" w:type="pct"/>
            <w:tcBorders>
              <w:top w:val="nil"/>
              <w:left w:val="nil"/>
              <w:bottom w:val="nil"/>
              <w:right w:val="nil"/>
            </w:tcBorders>
            <w:shd w:val="clear" w:color="auto" w:fill="auto"/>
            <w:noWrap/>
            <w:vAlign w:val="bottom"/>
            <w:hideMark/>
          </w:tcPr>
          <w:p w14:paraId="35C328B2" w14:textId="77777777" w:rsidR="00CC52DA" w:rsidRPr="008F3407" w:rsidRDefault="00CC52DA" w:rsidP="00CC52DA">
            <w:pPr>
              <w:pStyle w:val="ESVTablebody"/>
              <w:rPr>
                <w:lang w:eastAsia="en-AU"/>
              </w:rPr>
            </w:pPr>
            <w:r w:rsidRPr="008F3407">
              <w:rPr>
                <w:lang w:eastAsia="en-AU"/>
              </w:rPr>
              <w:t>KLO</w:t>
            </w:r>
          </w:p>
        </w:tc>
        <w:tc>
          <w:tcPr>
            <w:tcW w:w="478" w:type="pct"/>
            <w:tcBorders>
              <w:top w:val="nil"/>
              <w:left w:val="nil"/>
              <w:bottom w:val="nil"/>
              <w:right w:val="nil"/>
            </w:tcBorders>
            <w:shd w:val="clear" w:color="auto" w:fill="auto"/>
            <w:noWrap/>
            <w:vAlign w:val="bottom"/>
            <w:hideMark/>
          </w:tcPr>
          <w:p w14:paraId="1AFD1626" w14:textId="77777777" w:rsidR="00CC52DA" w:rsidRPr="008F3407" w:rsidRDefault="00CC52DA" w:rsidP="00CC52DA">
            <w:pPr>
              <w:pStyle w:val="ESVTablebody"/>
              <w:rPr>
                <w:lang w:eastAsia="en-AU"/>
              </w:rPr>
            </w:pPr>
            <w:r w:rsidRPr="008F3407">
              <w:rPr>
                <w:lang w:eastAsia="en-AU"/>
              </w:rPr>
              <w:t>3</w:t>
            </w:r>
          </w:p>
        </w:tc>
        <w:tc>
          <w:tcPr>
            <w:tcW w:w="441" w:type="pct"/>
            <w:tcBorders>
              <w:top w:val="nil"/>
              <w:left w:val="nil"/>
              <w:bottom w:val="nil"/>
              <w:right w:val="nil"/>
            </w:tcBorders>
            <w:shd w:val="clear" w:color="auto" w:fill="auto"/>
            <w:noWrap/>
            <w:vAlign w:val="bottom"/>
            <w:hideMark/>
          </w:tcPr>
          <w:p w14:paraId="7A476F57" w14:textId="77777777" w:rsidR="00CC52DA" w:rsidRPr="008F3407" w:rsidRDefault="00CC52DA" w:rsidP="00CC52DA">
            <w:pPr>
              <w:pStyle w:val="ESVTablebody"/>
              <w:rPr>
                <w:lang w:eastAsia="en-AU"/>
              </w:rPr>
            </w:pPr>
            <w:r w:rsidRPr="008F3407">
              <w:rPr>
                <w:lang w:eastAsia="en-AU"/>
              </w:rPr>
              <w:t>3</w:t>
            </w:r>
          </w:p>
        </w:tc>
        <w:tc>
          <w:tcPr>
            <w:tcW w:w="1103" w:type="pct"/>
            <w:tcBorders>
              <w:top w:val="nil"/>
              <w:left w:val="nil"/>
              <w:bottom w:val="nil"/>
              <w:right w:val="nil"/>
            </w:tcBorders>
            <w:shd w:val="clear" w:color="auto" w:fill="C6EFCE"/>
            <w:noWrap/>
            <w:vAlign w:val="bottom"/>
            <w:hideMark/>
          </w:tcPr>
          <w:p w14:paraId="21875E02" w14:textId="5FA80787" w:rsidR="00CC52DA" w:rsidRPr="008F3407" w:rsidRDefault="00CC52DA" w:rsidP="00CC52DA">
            <w:pPr>
              <w:pStyle w:val="ESVTablebody"/>
              <w:rPr>
                <w:color w:val="9C6500"/>
                <w:lang w:eastAsia="en-AU"/>
              </w:rPr>
            </w:pPr>
            <w:r w:rsidRPr="008F3407" w:rsidDel="00A84703">
              <w:rPr>
                <w:color w:val="006100"/>
                <w:lang w:eastAsia="en-AU"/>
              </w:rPr>
              <w:t>Yes</w:t>
            </w:r>
          </w:p>
        </w:tc>
        <w:tc>
          <w:tcPr>
            <w:tcW w:w="1248" w:type="pct"/>
            <w:tcBorders>
              <w:top w:val="nil"/>
              <w:left w:val="nil"/>
              <w:bottom w:val="nil"/>
              <w:right w:val="nil"/>
            </w:tcBorders>
            <w:shd w:val="clear" w:color="auto" w:fill="C6EFCE"/>
            <w:noWrap/>
            <w:vAlign w:val="bottom"/>
            <w:hideMark/>
          </w:tcPr>
          <w:p w14:paraId="612E40E0" w14:textId="4C35ABA5" w:rsidR="00CC52DA" w:rsidRPr="008F3407" w:rsidRDefault="00CC52DA" w:rsidP="00CC52DA">
            <w:pPr>
              <w:pStyle w:val="ESVTablebody"/>
              <w:rPr>
                <w:color w:val="9C6500"/>
                <w:lang w:eastAsia="en-AU"/>
              </w:rPr>
            </w:pPr>
            <w:r w:rsidRPr="008F3407" w:rsidDel="00A84703">
              <w:rPr>
                <w:color w:val="006100"/>
                <w:lang w:eastAsia="en-AU"/>
              </w:rPr>
              <w:t>Yes</w:t>
            </w:r>
          </w:p>
        </w:tc>
      </w:tr>
      <w:tr w:rsidR="00453DC4" w:rsidRPr="008F3407" w:rsidDel="00A84703" w14:paraId="7349774D" w14:textId="77777777" w:rsidTr="00660470">
        <w:trPr>
          <w:trHeight w:val="300"/>
        </w:trPr>
        <w:tc>
          <w:tcPr>
            <w:tcW w:w="1324" w:type="pct"/>
            <w:tcBorders>
              <w:top w:val="nil"/>
              <w:left w:val="nil"/>
              <w:bottom w:val="nil"/>
              <w:right w:val="nil"/>
            </w:tcBorders>
            <w:shd w:val="clear" w:color="auto" w:fill="auto"/>
            <w:noWrap/>
            <w:vAlign w:val="bottom"/>
          </w:tcPr>
          <w:p w14:paraId="13FC30C8" w14:textId="77777777" w:rsidR="00F55EF6" w:rsidRPr="008F3407" w:rsidDel="00A84703" w:rsidRDefault="00F55EF6" w:rsidP="00F55EF6">
            <w:pPr>
              <w:pStyle w:val="ESVTablebody"/>
              <w:rPr>
                <w:lang w:eastAsia="en-AU"/>
              </w:rPr>
            </w:pPr>
            <w:r w:rsidRPr="008F3407" w:rsidDel="00A84703">
              <w:rPr>
                <w:lang w:eastAsia="en-AU"/>
              </w:rPr>
              <w:t>Sale</w:t>
            </w:r>
          </w:p>
        </w:tc>
        <w:tc>
          <w:tcPr>
            <w:tcW w:w="406" w:type="pct"/>
            <w:tcBorders>
              <w:top w:val="nil"/>
              <w:left w:val="nil"/>
              <w:bottom w:val="nil"/>
              <w:right w:val="nil"/>
            </w:tcBorders>
            <w:shd w:val="clear" w:color="auto" w:fill="auto"/>
            <w:noWrap/>
            <w:vAlign w:val="bottom"/>
          </w:tcPr>
          <w:p w14:paraId="4CE822CD" w14:textId="77777777" w:rsidR="00F55EF6" w:rsidRPr="008F3407" w:rsidDel="00A84703" w:rsidRDefault="00F55EF6" w:rsidP="00F55EF6">
            <w:pPr>
              <w:pStyle w:val="ESVTablebody"/>
              <w:rPr>
                <w:lang w:eastAsia="en-AU"/>
              </w:rPr>
            </w:pPr>
            <w:r w:rsidRPr="008F3407" w:rsidDel="00A84703">
              <w:rPr>
                <w:lang w:eastAsia="en-AU"/>
              </w:rPr>
              <w:t>SLE</w:t>
            </w:r>
          </w:p>
        </w:tc>
        <w:tc>
          <w:tcPr>
            <w:tcW w:w="478" w:type="pct"/>
            <w:tcBorders>
              <w:top w:val="nil"/>
              <w:left w:val="nil"/>
              <w:bottom w:val="nil"/>
              <w:right w:val="nil"/>
            </w:tcBorders>
            <w:shd w:val="clear" w:color="auto" w:fill="auto"/>
            <w:noWrap/>
            <w:vAlign w:val="bottom"/>
          </w:tcPr>
          <w:p w14:paraId="008BEA85" w14:textId="77777777" w:rsidR="00F55EF6" w:rsidRPr="008F3407" w:rsidDel="00A84703" w:rsidRDefault="00F55EF6" w:rsidP="00F55EF6">
            <w:pPr>
              <w:pStyle w:val="ESVTablebody"/>
              <w:rPr>
                <w:lang w:eastAsia="en-AU"/>
              </w:rPr>
            </w:pPr>
            <w:r w:rsidRPr="008F3407" w:rsidDel="00A84703">
              <w:rPr>
                <w:lang w:eastAsia="en-AU"/>
              </w:rPr>
              <w:t>3</w:t>
            </w:r>
          </w:p>
        </w:tc>
        <w:tc>
          <w:tcPr>
            <w:tcW w:w="441" w:type="pct"/>
            <w:tcBorders>
              <w:top w:val="nil"/>
              <w:left w:val="nil"/>
              <w:bottom w:val="nil"/>
              <w:right w:val="nil"/>
            </w:tcBorders>
            <w:shd w:val="clear" w:color="auto" w:fill="auto"/>
            <w:noWrap/>
            <w:vAlign w:val="bottom"/>
          </w:tcPr>
          <w:p w14:paraId="12B08DD7" w14:textId="77777777" w:rsidR="00F55EF6" w:rsidRPr="008F3407" w:rsidDel="00A84703" w:rsidRDefault="00F55EF6" w:rsidP="00F55EF6">
            <w:pPr>
              <w:pStyle w:val="ESVTablebody"/>
              <w:rPr>
                <w:lang w:eastAsia="en-AU"/>
              </w:rPr>
            </w:pPr>
            <w:r w:rsidRPr="008F3407" w:rsidDel="00A84703">
              <w:rPr>
                <w:lang w:eastAsia="en-AU"/>
              </w:rPr>
              <w:t>1</w:t>
            </w:r>
          </w:p>
        </w:tc>
        <w:tc>
          <w:tcPr>
            <w:tcW w:w="1103" w:type="pct"/>
            <w:tcBorders>
              <w:top w:val="nil"/>
              <w:left w:val="nil"/>
              <w:bottom w:val="nil"/>
              <w:right w:val="nil"/>
            </w:tcBorders>
            <w:shd w:val="clear" w:color="auto" w:fill="C6EFCE"/>
            <w:noWrap/>
            <w:vAlign w:val="bottom"/>
          </w:tcPr>
          <w:p w14:paraId="1A3E3A50" w14:textId="77777777" w:rsidR="00F55EF6" w:rsidRPr="008F3407" w:rsidDel="00A84703" w:rsidRDefault="00F55EF6" w:rsidP="00F55EF6">
            <w:pPr>
              <w:pStyle w:val="ESVTablebody"/>
              <w:rPr>
                <w:color w:val="006100"/>
                <w:lang w:eastAsia="en-AU"/>
              </w:rPr>
            </w:pPr>
            <w:r w:rsidRPr="008F3407" w:rsidDel="00A84703">
              <w:rPr>
                <w:color w:val="006100"/>
                <w:lang w:eastAsia="en-AU"/>
              </w:rPr>
              <w:t>Yes</w:t>
            </w:r>
          </w:p>
        </w:tc>
        <w:tc>
          <w:tcPr>
            <w:tcW w:w="1248" w:type="pct"/>
            <w:tcBorders>
              <w:top w:val="nil"/>
              <w:left w:val="nil"/>
              <w:bottom w:val="nil"/>
              <w:right w:val="nil"/>
            </w:tcBorders>
            <w:shd w:val="clear" w:color="auto" w:fill="C6EFCE"/>
            <w:noWrap/>
            <w:vAlign w:val="bottom"/>
          </w:tcPr>
          <w:p w14:paraId="604FDFCC" w14:textId="77777777" w:rsidR="00F55EF6" w:rsidRPr="008F3407" w:rsidDel="00A84703" w:rsidRDefault="00F55EF6" w:rsidP="00F55EF6">
            <w:pPr>
              <w:pStyle w:val="ESVTablebody"/>
              <w:rPr>
                <w:color w:val="006100"/>
                <w:lang w:eastAsia="en-AU"/>
              </w:rPr>
            </w:pPr>
            <w:r w:rsidRPr="008F3407" w:rsidDel="00A84703">
              <w:rPr>
                <w:color w:val="006100"/>
                <w:lang w:eastAsia="en-AU"/>
              </w:rPr>
              <w:t>Yes</w:t>
            </w:r>
          </w:p>
        </w:tc>
      </w:tr>
      <w:tr w:rsidR="00CC52DA" w:rsidRPr="008F3407" w14:paraId="0B917559" w14:textId="77777777" w:rsidTr="00BE3F2D">
        <w:trPr>
          <w:trHeight w:val="300"/>
        </w:trPr>
        <w:tc>
          <w:tcPr>
            <w:tcW w:w="1324" w:type="pct"/>
            <w:tcBorders>
              <w:top w:val="nil"/>
              <w:left w:val="nil"/>
              <w:bottom w:val="single" w:sz="4" w:space="0" w:color="auto"/>
              <w:right w:val="nil"/>
            </w:tcBorders>
            <w:shd w:val="clear" w:color="auto" w:fill="auto"/>
            <w:noWrap/>
            <w:vAlign w:val="bottom"/>
          </w:tcPr>
          <w:p w14:paraId="6472B391" w14:textId="77777777" w:rsidR="00CC52DA" w:rsidRPr="008D0B99" w:rsidRDefault="00CC52DA" w:rsidP="00CC52DA">
            <w:pPr>
              <w:pStyle w:val="ESVTablebody"/>
              <w:rPr>
                <w:vertAlign w:val="superscript"/>
                <w:lang w:eastAsia="en-AU"/>
              </w:rPr>
            </w:pPr>
            <w:r w:rsidRPr="008F3407">
              <w:rPr>
                <w:lang w:eastAsia="en-AU"/>
              </w:rPr>
              <w:t>Wodonga Terminal Station</w:t>
            </w:r>
            <w:r>
              <w:rPr>
                <w:vertAlign w:val="superscript"/>
                <w:lang w:eastAsia="en-AU"/>
              </w:rPr>
              <w:t>1</w:t>
            </w:r>
          </w:p>
        </w:tc>
        <w:tc>
          <w:tcPr>
            <w:tcW w:w="406" w:type="pct"/>
            <w:tcBorders>
              <w:top w:val="nil"/>
              <w:left w:val="nil"/>
              <w:bottom w:val="single" w:sz="4" w:space="0" w:color="auto"/>
              <w:right w:val="nil"/>
            </w:tcBorders>
            <w:shd w:val="clear" w:color="auto" w:fill="auto"/>
            <w:noWrap/>
            <w:vAlign w:val="bottom"/>
          </w:tcPr>
          <w:p w14:paraId="1F5F9F6A" w14:textId="77777777" w:rsidR="00CC52DA" w:rsidRPr="008F3407" w:rsidRDefault="00CC52DA" w:rsidP="00CC52DA">
            <w:pPr>
              <w:pStyle w:val="ESVTablebody"/>
              <w:rPr>
                <w:lang w:eastAsia="en-AU"/>
              </w:rPr>
            </w:pPr>
            <w:r w:rsidRPr="008F3407">
              <w:rPr>
                <w:lang w:eastAsia="en-AU"/>
              </w:rPr>
              <w:t>WOTS</w:t>
            </w:r>
          </w:p>
        </w:tc>
        <w:tc>
          <w:tcPr>
            <w:tcW w:w="478" w:type="pct"/>
            <w:tcBorders>
              <w:top w:val="nil"/>
              <w:left w:val="nil"/>
              <w:bottom w:val="single" w:sz="4" w:space="0" w:color="auto"/>
              <w:right w:val="nil"/>
            </w:tcBorders>
            <w:shd w:val="clear" w:color="auto" w:fill="auto"/>
            <w:noWrap/>
            <w:vAlign w:val="bottom"/>
          </w:tcPr>
          <w:p w14:paraId="327361E7" w14:textId="77777777" w:rsidR="00CC52DA" w:rsidRPr="008F3407" w:rsidRDefault="00CC52DA" w:rsidP="00CC52DA">
            <w:pPr>
              <w:pStyle w:val="ESVTablebody"/>
              <w:rPr>
                <w:lang w:eastAsia="en-AU"/>
              </w:rPr>
            </w:pPr>
            <w:r>
              <w:rPr>
                <w:lang w:eastAsia="en-AU"/>
              </w:rPr>
              <w:t>3</w:t>
            </w:r>
          </w:p>
        </w:tc>
        <w:tc>
          <w:tcPr>
            <w:tcW w:w="441" w:type="pct"/>
            <w:tcBorders>
              <w:top w:val="nil"/>
              <w:left w:val="nil"/>
              <w:bottom w:val="single" w:sz="4" w:space="0" w:color="auto"/>
              <w:right w:val="nil"/>
            </w:tcBorders>
            <w:shd w:val="clear" w:color="auto" w:fill="auto"/>
            <w:noWrap/>
            <w:vAlign w:val="bottom"/>
          </w:tcPr>
          <w:p w14:paraId="0F7F9DD5" w14:textId="77777777" w:rsidR="00CC52DA" w:rsidRPr="008F3407" w:rsidRDefault="00CC52DA" w:rsidP="00CC52DA">
            <w:pPr>
              <w:pStyle w:val="ESVTablebody"/>
              <w:rPr>
                <w:lang w:eastAsia="en-AU"/>
              </w:rPr>
            </w:pPr>
            <w:r w:rsidRPr="008F3407">
              <w:rPr>
                <w:lang w:eastAsia="en-AU"/>
              </w:rPr>
              <w:t>3</w:t>
            </w:r>
          </w:p>
        </w:tc>
        <w:tc>
          <w:tcPr>
            <w:tcW w:w="1103" w:type="pct"/>
            <w:tcBorders>
              <w:top w:val="nil"/>
              <w:left w:val="nil"/>
              <w:bottom w:val="single" w:sz="4" w:space="0" w:color="auto"/>
              <w:right w:val="nil"/>
            </w:tcBorders>
            <w:shd w:val="clear" w:color="auto" w:fill="C6EFCE"/>
            <w:noWrap/>
            <w:vAlign w:val="bottom"/>
          </w:tcPr>
          <w:p w14:paraId="2DD6AFB9" w14:textId="4206BE78" w:rsidR="00CC52DA" w:rsidRPr="008F3407" w:rsidRDefault="00CC52DA" w:rsidP="00CC52DA">
            <w:pPr>
              <w:pStyle w:val="ESVTablebody"/>
              <w:rPr>
                <w:color w:val="9C6500"/>
                <w:lang w:eastAsia="en-AU"/>
              </w:rPr>
            </w:pPr>
            <w:r w:rsidRPr="008F3407" w:rsidDel="00A84703">
              <w:rPr>
                <w:color w:val="006100"/>
                <w:lang w:eastAsia="en-AU"/>
              </w:rPr>
              <w:t>Yes</w:t>
            </w:r>
          </w:p>
        </w:tc>
        <w:tc>
          <w:tcPr>
            <w:tcW w:w="1248" w:type="pct"/>
            <w:tcBorders>
              <w:top w:val="nil"/>
              <w:left w:val="nil"/>
              <w:bottom w:val="single" w:sz="4" w:space="0" w:color="auto"/>
              <w:right w:val="nil"/>
            </w:tcBorders>
            <w:shd w:val="clear" w:color="auto" w:fill="C6EFCE"/>
            <w:noWrap/>
            <w:vAlign w:val="bottom"/>
          </w:tcPr>
          <w:p w14:paraId="202020A7" w14:textId="17C5E028" w:rsidR="00CC52DA" w:rsidRPr="008F3407" w:rsidRDefault="00CC52DA" w:rsidP="00CC52DA">
            <w:pPr>
              <w:pStyle w:val="ESVTablebody"/>
              <w:rPr>
                <w:color w:val="9C6500"/>
                <w:lang w:eastAsia="en-AU"/>
              </w:rPr>
            </w:pPr>
            <w:r w:rsidRPr="008F3407" w:rsidDel="00A84703">
              <w:rPr>
                <w:color w:val="006100"/>
                <w:lang w:eastAsia="en-AU"/>
              </w:rPr>
              <w:t>Yes</w:t>
            </w:r>
          </w:p>
        </w:tc>
      </w:tr>
      <w:tr w:rsidR="00453DC4" w:rsidRPr="00AD259D" w14:paraId="3DE85DED" w14:textId="77777777" w:rsidTr="00660470">
        <w:trPr>
          <w:trHeight w:val="300"/>
        </w:trPr>
        <w:tc>
          <w:tcPr>
            <w:tcW w:w="1324" w:type="pct"/>
            <w:tcBorders>
              <w:top w:val="single" w:sz="4" w:space="0" w:color="auto"/>
              <w:left w:val="nil"/>
              <w:bottom w:val="single" w:sz="4" w:space="0" w:color="auto"/>
              <w:right w:val="nil"/>
            </w:tcBorders>
            <w:shd w:val="clear" w:color="auto" w:fill="auto"/>
            <w:noWrap/>
            <w:vAlign w:val="bottom"/>
            <w:hideMark/>
          </w:tcPr>
          <w:p w14:paraId="664F802A" w14:textId="1D351ADA" w:rsidR="0023072B" w:rsidRPr="00AD259D" w:rsidRDefault="0023072B">
            <w:pPr>
              <w:pStyle w:val="ESVTablebody"/>
              <w:rPr>
                <w:b/>
                <w:lang w:eastAsia="en-AU"/>
              </w:rPr>
            </w:pPr>
            <w:r w:rsidRPr="00AD259D">
              <w:rPr>
                <w:b/>
                <w:lang w:eastAsia="en-AU"/>
              </w:rPr>
              <w:t xml:space="preserve">Tranche 3 (1 </w:t>
            </w:r>
            <w:r w:rsidR="00845D7B">
              <w:rPr>
                <w:b/>
                <w:lang w:eastAsia="en-AU"/>
              </w:rPr>
              <w:t xml:space="preserve">Nov </w:t>
            </w:r>
            <w:r w:rsidRPr="00AD259D">
              <w:rPr>
                <w:b/>
                <w:lang w:eastAsia="en-AU"/>
              </w:rPr>
              <w:t>2023)</w:t>
            </w:r>
            <w:r w:rsidR="00845D7B" w:rsidRPr="00BE3F2D">
              <w:rPr>
                <w:b/>
                <w:vertAlign w:val="superscript"/>
                <w:lang w:eastAsia="en-AU"/>
              </w:rPr>
              <w:t>3</w:t>
            </w:r>
          </w:p>
        </w:tc>
        <w:tc>
          <w:tcPr>
            <w:tcW w:w="884" w:type="pct"/>
            <w:gridSpan w:val="2"/>
            <w:tcBorders>
              <w:top w:val="single" w:sz="4" w:space="0" w:color="auto"/>
              <w:left w:val="nil"/>
              <w:bottom w:val="single" w:sz="4" w:space="0" w:color="auto"/>
              <w:right w:val="nil"/>
            </w:tcBorders>
            <w:shd w:val="clear" w:color="auto" w:fill="auto"/>
            <w:noWrap/>
            <w:vAlign w:val="bottom"/>
            <w:hideMark/>
          </w:tcPr>
          <w:p w14:paraId="12F4CB3D" w14:textId="77777777" w:rsidR="0023072B" w:rsidRPr="00AD259D" w:rsidRDefault="0023072B" w:rsidP="0023072B">
            <w:pPr>
              <w:pStyle w:val="ESVTablebody"/>
              <w:rPr>
                <w:b/>
                <w:lang w:eastAsia="en-AU"/>
              </w:rPr>
            </w:pPr>
          </w:p>
        </w:tc>
        <w:tc>
          <w:tcPr>
            <w:tcW w:w="441" w:type="pct"/>
            <w:tcBorders>
              <w:top w:val="single" w:sz="4" w:space="0" w:color="auto"/>
              <w:left w:val="nil"/>
              <w:bottom w:val="single" w:sz="4" w:space="0" w:color="auto"/>
              <w:right w:val="nil"/>
            </w:tcBorders>
            <w:shd w:val="clear" w:color="auto" w:fill="auto"/>
            <w:noWrap/>
            <w:vAlign w:val="bottom"/>
            <w:hideMark/>
          </w:tcPr>
          <w:p w14:paraId="54259FED" w14:textId="77777777" w:rsidR="0023072B" w:rsidRPr="00AD259D" w:rsidRDefault="0023072B" w:rsidP="0023072B">
            <w:pPr>
              <w:pStyle w:val="ESVTablebody"/>
              <w:rPr>
                <w:b/>
                <w:lang w:eastAsia="en-AU"/>
              </w:rPr>
            </w:pPr>
            <w:r w:rsidRPr="00AD259D">
              <w:rPr>
                <w:b/>
                <w:lang w:eastAsia="en-AU"/>
              </w:rPr>
              <w:t>9</w:t>
            </w:r>
          </w:p>
        </w:tc>
        <w:tc>
          <w:tcPr>
            <w:tcW w:w="1103" w:type="pct"/>
            <w:tcBorders>
              <w:top w:val="single" w:sz="4" w:space="0" w:color="auto"/>
              <w:left w:val="nil"/>
              <w:bottom w:val="single" w:sz="4" w:space="0" w:color="auto"/>
              <w:right w:val="nil"/>
            </w:tcBorders>
            <w:shd w:val="clear" w:color="auto" w:fill="auto"/>
            <w:noWrap/>
            <w:vAlign w:val="bottom"/>
            <w:hideMark/>
          </w:tcPr>
          <w:p w14:paraId="42752CDA" w14:textId="40BDF98B" w:rsidR="0023072B" w:rsidRPr="00AD259D" w:rsidRDefault="006114A1" w:rsidP="0023072B">
            <w:pPr>
              <w:pStyle w:val="ESVTablebody"/>
              <w:rPr>
                <w:b/>
                <w:lang w:eastAsia="en-AU"/>
              </w:rPr>
            </w:pPr>
            <w:r>
              <w:rPr>
                <w:b/>
                <w:lang w:eastAsia="en-AU"/>
              </w:rPr>
              <w:t>9</w:t>
            </w:r>
          </w:p>
        </w:tc>
        <w:tc>
          <w:tcPr>
            <w:tcW w:w="1248" w:type="pct"/>
            <w:tcBorders>
              <w:top w:val="single" w:sz="4" w:space="0" w:color="auto"/>
              <w:left w:val="nil"/>
              <w:bottom w:val="single" w:sz="4" w:space="0" w:color="auto"/>
              <w:right w:val="nil"/>
            </w:tcBorders>
            <w:shd w:val="clear" w:color="auto" w:fill="auto"/>
            <w:noWrap/>
            <w:vAlign w:val="bottom"/>
            <w:hideMark/>
          </w:tcPr>
          <w:p w14:paraId="2446744C" w14:textId="524A15DF" w:rsidR="0023072B" w:rsidRPr="00AD259D" w:rsidRDefault="006114A1" w:rsidP="0023072B">
            <w:pPr>
              <w:pStyle w:val="ESVTablebody"/>
              <w:rPr>
                <w:b/>
                <w:lang w:eastAsia="en-AU"/>
              </w:rPr>
            </w:pPr>
            <w:r>
              <w:rPr>
                <w:b/>
                <w:lang w:eastAsia="en-AU"/>
              </w:rPr>
              <w:t>9</w:t>
            </w:r>
          </w:p>
        </w:tc>
      </w:tr>
      <w:tr w:rsidR="00453DC4" w:rsidRPr="00AD259D" w14:paraId="32A1B538" w14:textId="77777777" w:rsidTr="00660470">
        <w:trPr>
          <w:trHeight w:val="315"/>
        </w:trPr>
        <w:tc>
          <w:tcPr>
            <w:tcW w:w="1324" w:type="pct"/>
            <w:tcBorders>
              <w:top w:val="nil"/>
              <w:left w:val="nil"/>
              <w:bottom w:val="single" w:sz="8" w:space="0" w:color="auto"/>
              <w:right w:val="nil"/>
            </w:tcBorders>
            <w:shd w:val="clear" w:color="auto" w:fill="auto"/>
            <w:noWrap/>
            <w:vAlign w:val="bottom"/>
            <w:hideMark/>
          </w:tcPr>
          <w:p w14:paraId="16683088" w14:textId="77777777" w:rsidR="0023072B" w:rsidRPr="00AD259D" w:rsidRDefault="0023072B" w:rsidP="0023072B">
            <w:pPr>
              <w:pStyle w:val="ESVTablebody"/>
              <w:rPr>
                <w:b/>
                <w:lang w:eastAsia="en-AU"/>
              </w:rPr>
            </w:pPr>
            <w:r>
              <w:rPr>
                <w:b/>
                <w:lang w:eastAsia="en-AU"/>
              </w:rPr>
              <w:t>Total Program</w:t>
            </w:r>
          </w:p>
        </w:tc>
        <w:tc>
          <w:tcPr>
            <w:tcW w:w="884" w:type="pct"/>
            <w:gridSpan w:val="2"/>
            <w:tcBorders>
              <w:top w:val="single" w:sz="4" w:space="0" w:color="auto"/>
              <w:left w:val="nil"/>
              <w:bottom w:val="single" w:sz="8" w:space="0" w:color="auto"/>
              <w:right w:val="nil"/>
            </w:tcBorders>
            <w:shd w:val="clear" w:color="auto" w:fill="auto"/>
            <w:noWrap/>
            <w:vAlign w:val="bottom"/>
            <w:hideMark/>
          </w:tcPr>
          <w:p w14:paraId="361A864E" w14:textId="77777777" w:rsidR="0023072B" w:rsidRPr="00AD259D" w:rsidRDefault="0023072B" w:rsidP="0023072B">
            <w:pPr>
              <w:pStyle w:val="ESVTablebody"/>
              <w:rPr>
                <w:b/>
                <w:lang w:eastAsia="en-AU"/>
              </w:rPr>
            </w:pPr>
          </w:p>
        </w:tc>
        <w:tc>
          <w:tcPr>
            <w:tcW w:w="441" w:type="pct"/>
            <w:tcBorders>
              <w:top w:val="nil"/>
              <w:left w:val="nil"/>
              <w:bottom w:val="single" w:sz="8" w:space="0" w:color="auto"/>
              <w:right w:val="nil"/>
            </w:tcBorders>
            <w:shd w:val="clear" w:color="auto" w:fill="auto"/>
            <w:noWrap/>
            <w:vAlign w:val="bottom"/>
            <w:hideMark/>
          </w:tcPr>
          <w:p w14:paraId="329F4151" w14:textId="77777777" w:rsidR="0023072B" w:rsidRPr="00AD259D" w:rsidRDefault="0023072B" w:rsidP="0023072B">
            <w:pPr>
              <w:pStyle w:val="ESVTablebody"/>
              <w:rPr>
                <w:b/>
                <w:lang w:eastAsia="en-AU"/>
              </w:rPr>
            </w:pPr>
            <w:r w:rsidRPr="00AD259D">
              <w:rPr>
                <w:b/>
                <w:lang w:eastAsia="en-AU"/>
              </w:rPr>
              <w:t>64</w:t>
            </w:r>
          </w:p>
        </w:tc>
        <w:tc>
          <w:tcPr>
            <w:tcW w:w="1103" w:type="pct"/>
            <w:tcBorders>
              <w:top w:val="nil"/>
              <w:left w:val="nil"/>
              <w:bottom w:val="single" w:sz="8" w:space="0" w:color="auto"/>
              <w:right w:val="nil"/>
            </w:tcBorders>
            <w:shd w:val="clear" w:color="auto" w:fill="auto"/>
            <w:noWrap/>
            <w:vAlign w:val="bottom"/>
            <w:hideMark/>
          </w:tcPr>
          <w:p w14:paraId="2299983E" w14:textId="0C12FA93" w:rsidR="0023072B" w:rsidRPr="00AD259D" w:rsidRDefault="00C82845" w:rsidP="00CF6BFF">
            <w:pPr>
              <w:pStyle w:val="ESVTablebody"/>
              <w:rPr>
                <w:b/>
                <w:lang w:eastAsia="en-AU"/>
              </w:rPr>
            </w:pPr>
            <w:r>
              <w:rPr>
                <w:b/>
                <w:lang w:eastAsia="en-AU"/>
              </w:rPr>
              <w:t>6</w:t>
            </w:r>
            <w:r w:rsidR="006114A1">
              <w:rPr>
                <w:b/>
                <w:lang w:eastAsia="en-AU"/>
              </w:rPr>
              <w:t>4</w:t>
            </w:r>
          </w:p>
        </w:tc>
        <w:tc>
          <w:tcPr>
            <w:tcW w:w="1248" w:type="pct"/>
            <w:tcBorders>
              <w:top w:val="nil"/>
              <w:left w:val="nil"/>
              <w:bottom w:val="single" w:sz="8" w:space="0" w:color="auto"/>
              <w:right w:val="nil"/>
            </w:tcBorders>
            <w:shd w:val="clear" w:color="auto" w:fill="auto"/>
            <w:noWrap/>
            <w:vAlign w:val="bottom"/>
            <w:hideMark/>
          </w:tcPr>
          <w:p w14:paraId="797257DD" w14:textId="22E5F9A5" w:rsidR="0023072B" w:rsidRPr="00AD259D" w:rsidRDefault="00C82845" w:rsidP="0023072B">
            <w:pPr>
              <w:pStyle w:val="ESVTablebody"/>
              <w:rPr>
                <w:b/>
                <w:lang w:eastAsia="en-AU"/>
              </w:rPr>
            </w:pPr>
            <w:r>
              <w:rPr>
                <w:b/>
                <w:lang w:eastAsia="en-AU"/>
              </w:rPr>
              <w:t>6</w:t>
            </w:r>
            <w:r w:rsidR="006114A1">
              <w:rPr>
                <w:b/>
                <w:lang w:eastAsia="en-AU"/>
              </w:rPr>
              <w:t>4</w:t>
            </w:r>
          </w:p>
        </w:tc>
      </w:tr>
    </w:tbl>
    <w:p w14:paraId="00B1E99C" w14:textId="77777777" w:rsidR="008F3407" w:rsidRPr="00EC037F" w:rsidRDefault="008D0B99" w:rsidP="00F50CD1">
      <w:pPr>
        <w:pStyle w:val="ESVBody"/>
        <w:rPr>
          <w:b/>
          <w:u w:val="single"/>
        </w:rPr>
      </w:pPr>
      <w:r w:rsidRPr="00EC037F">
        <w:rPr>
          <w:b/>
          <w:u w:val="single"/>
        </w:rPr>
        <w:t>Notes:</w:t>
      </w:r>
    </w:p>
    <w:p w14:paraId="445BA4FE" w14:textId="6BA6EA95" w:rsidR="00B42E1F" w:rsidRDefault="00694F84" w:rsidP="007B7790">
      <w:pPr>
        <w:pStyle w:val="ESVBody"/>
        <w:numPr>
          <w:ilvl w:val="0"/>
          <w:numId w:val="23"/>
        </w:numPr>
      </w:pPr>
      <w:r>
        <w:t>Energy Safe</w:t>
      </w:r>
      <w:r w:rsidR="00B42E1F" w:rsidRPr="00B42E1F">
        <w:t xml:space="preserve"> </w:t>
      </w:r>
      <w:r>
        <w:t xml:space="preserve">Victoria (Energy Safe) </w:t>
      </w:r>
      <w:r w:rsidR="00B42E1F">
        <w:t xml:space="preserve">granted a time extension for tranche 1 </w:t>
      </w:r>
      <w:proofErr w:type="gramStart"/>
      <w:r w:rsidR="00B42E1F">
        <w:t>in regard to</w:t>
      </w:r>
      <w:proofErr w:type="gramEnd"/>
      <w:r w:rsidR="00B42E1F">
        <w:t xml:space="preserve"> the two</w:t>
      </w:r>
      <w:r w:rsidR="00B42E1F" w:rsidRPr="007B7790">
        <w:t xml:space="preserve"> sites</w:t>
      </w:r>
      <w:r w:rsidR="00B42E1F">
        <w:t xml:space="preserve"> noted that were impacted by </w:t>
      </w:r>
      <w:r w:rsidR="00B42E1F">
        <w:rPr>
          <w:lang w:eastAsia="en-AU"/>
        </w:rPr>
        <w:t>unique technical challenges</w:t>
      </w:r>
      <w:r w:rsidR="00B42E1F" w:rsidRPr="007B7790">
        <w:t>.</w:t>
      </w:r>
      <w:r w:rsidR="00A333E8">
        <w:t xml:space="preserve"> The 1 May 2019 deadline was initially extended to </w:t>
      </w:r>
      <w:r w:rsidR="00A333E8" w:rsidRPr="00F321F3">
        <w:rPr>
          <w:lang w:eastAsia="en-AU"/>
        </w:rPr>
        <w:t>1 November 2019</w:t>
      </w:r>
      <w:r w:rsidR="00A333E8">
        <w:rPr>
          <w:lang w:eastAsia="en-AU"/>
        </w:rPr>
        <w:t xml:space="preserve"> and then extended again until 29 April 2021.</w:t>
      </w:r>
    </w:p>
    <w:p w14:paraId="0AD57B45" w14:textId="7D824671" w:rsidR="008D0B99" w:rsidRDefault="00694F84" w:rsidP="007B7790">
      <w:pPr>
        <w:pStyle w:val="ESVBody"/>
        <w:numPr>
          <w:ilvl w:val="0"/>
          <w:numId w:val="23"/>
        </w:numPr>
      </w:pPr>
      <w:r>
        <w:t>Energy Safe</w:t>
      </w:r>
      <w:r w:rsidR="007B7790">
        <w:t xml:space="preserve"> granted</w:t>
      </w:r>
      <w:r w:rsidR="007B7790" w:rsidRPr="007B7790">
        <w:t xml:space="preserve"> a time extension for tranche 2</w:t>
      </w:r>
      <w:r w:rsidR="007B7790">
        <w:t xml:space="preserve"> in regard to the four</w:t>
      </w:r>
      <w:r w:rsidR="007B7790" w:rsidRPr="007B7790">
        <w:t xml:space="preserve"> sites</w:t>
      </w:r>
      <w:r w:rsidR="007B7790">
        <w:t xml:space="preserve"> noted that were impacted by </w:t>
      </w:r>
      <w:r w:rsidR="005313B2">
        <w:t>unforeseen</w:t>
      </w:r>
      <w:r w:rsidR="007B7790">
        <w:t xml:space="preserve"> technical issues and </w:t>
      </w:r>
      <w:proofErr w:type="gramStart"/>
      <w:r w:rsidR="007B7790">
        <w:t>third party</w:t>
      </w:r>
      <w:proofErr w:type="gramEnd"/>
      <w:r w:rsidR="007B7790">
        <w:t xml:space="preserve"> delays beyond AusNet Services’ control</w:t>
      </w:r>
      <w:r w:rsidR="007B7790" w:rsidRPr="007B7790">
        <w:t>.</w:t>
      </w:r>
      <w:r w:rsidR="00564D0D">
        <w:t xml:space="preserve"> Some sites were moved from tranche 2 to tranche 3 and vice versa to ensure REFCL</w:t>
      </w:r>
      <w:r w:rsidR="005313B2">
        <w:t>’s</w:t>
      </w:r>
      <w:r w:rsidR="00564D0D">
        <w:t xml:space="preserve"> were brought online as soon as </w:t>
      </w:r>
      <w:r w:rsidR="005313B2">
        <w:t xml:space="preserve">practicable to provide bushfire risk reduction and meet compliance requirements. </w:t>
      </w:r>
    </w:p>
    <w:p w14:paraId="615A1B72" w14:textId="09D5680C" w:rsidR="00845D7B" w:rsidRDefault="00694F84" w:rsidP="00845D7B">
      <w:pPr>
        <w:pStyle w:val="ESVBody"/>
        <w:numPr>
          <w:ilvl w:val="0"/>
          <w:numId w:val="23"/>
        </w:numPr>
      </w:pPr>
      <w:r>
        <w:t>Energy Safe</w:t>
      </w:r>
      <w:r w:rsidR="00845D7B">
        <w:t xml:space="preserve"> granted</w:t>
      </w:r>
      <w:r w:rsidR="00845D7B" w:rsidRPr="007B7790">
        <w:t xml:space="preserve"> a time extension for tranche </w:t>
      </w:r>
      <w:r w:rsidR="00845D7B">
        <w:t>3 in regard to one</w:t>
      </w:r>
      <w:r w:rsidR="00845D7B" w:rsidRPr="007B7790">
        <w:t xml:space="preserve"> site</w:t>
      </w:r>
      <w:r w:rsidR="00845D7B">
        <w:t xml:space="preserve"> impacted by technical issues and </w:t>
      </w:r>
      <w:proofErr w:type="gramStart"/>
      <w:r w:rsidR="00845D7B">
        <w:t>third party</w:t>
      </w:r>
      <w:proofErr w:type="gramEnd"/>
      <w:r w:rsidR="00845D7B">
        <w:t xml:space="preserve"> delays beyond AusNet Services’ control</w:t>
      </w:r>
      <w:r w:rsidR="00845D7B" w:rsidRPr="007B7790">
        <w:t>.</w:t>
      </w:r>
      <w:r w:rsidR="00845D7B">
        <w:t xml:space="preserve"> </w:t>
      </w:r>
    </w:p>
    <w:p w14:paraId="3AE6C096" w14:textId="77777777" w:rsidR="00062413" w:rsidRDefault="00062413">
      <w:pPr>
        <w:rPr>
          <w:rFonts w:ascii="Arial" w:eastAsia="MS Gothic" w:hAnsi="Arial"/>
          <w:b/>
          <w:bCs/>
          <w:color w:val="00007F"/>
          <w:sz w:val="24"/>
          <w:szCs w:val="26"/>
        </w:rPr>
      </w:pPr>
      <w:r>
        <w:br w:type="page"/>
      </w:r>
    </w:p>
    <w:p w14:paraId="41770F03" w14:textId="77777777" w:rsidR="008F3407" w:rsidRDefault="00EC037F" w:rsidP="00326924">
      <w:pPr>
        <w:pStyle w:val="Heading3"/>
      </w:pPr>
      <w:r>
        <w:lastRenderedPageBreak/>
        <w:t>Powercor</w:t>
      </w:r>
    </w:p>
    <w:tbl>
      <w:tblPr>
        <w:tblW w:w="5000" w:type="pct"/>
        <w:tblLayout w:type="fixed"/>
        <w:tblCellMar>
          <w:left w:w="57" w:type="dxa"/>
          <w:right w:w="57" w:type="dxa"/>
        </w:tblCellMar>
        <w:tblLook w:val="04A0" w:firstRow="1" w:lastRow="0" w:firstColumn="1" w:lastColumn="0" w:noHBand="0" w:noVBand="1"/>
      </w:tblPr>
      <w:tblGrid>
        <w:gridCol w:w="2268"/>
        <w:gridCol w:w="850"/>
        <w:gridCol w:w="993"/>
        <w:gridCol w:w="850"/>
        <w:gridCol w:w="2269"/>
        <w:gridCol w:w="2408"/>
      </w:tblGrid>
      <w:tr w:rsidR="00701071" w:rsidRPr="00701071" w14:paraId="6E221DD6" w14:textId="77777777" w:rsidTr="00660470">
        <w:trPr>
          <w:trHeight w:val="315"/>
        </w:trPr>
        <w:tc>
          <w:tcPr>
            <w:tcW w:w="1177" w:type="pct"/>
            <w:tcBorders>
              <w:top w:val="single" w:sz="8" w:space="0" w:color="auto"/>
              <w:left w:val="nil"/>
              <w:bottom w:val="single" w:sz="8" w:space="0" w:color="auto"/>
              <w:right w:val="nil"/>
            </w:tcBorders>
            <w:shd w:val="clear" w:color="auto" w:fill="auto"/>
            <w:noWrap/>
            <w:vAlign w:val="bottom"/>
            <w:hideMark/>
          </w:tcPr>
          <w:p w14:paraId="0F87BBBC" w14:textId="77777777" w:rsidR="00701071" w:rsidRPr="00701071" w:rsidRDefault="00701071" w:rsidP="00701071">
            <w:pPr>
              <w:pStyle w:val="ESVTablebody"/>
              <w:rPr>
                <w:b/>
                <w:lang w:eastAsia="en-AU"/>
              </w:rPr>
            </w:pPr>
            <w:r w:rsidRPr="00701071">
              <w:rPr>
                <w:b/>
                <w:lang w:eastAsia="en-AU"/>
              </w:rPr>
              <w:t>REFCL Location</w:t>
            </w:r>
          </w:p>
        </w:tc>
        <w:tc>
          <w:tcPr>
            <w:tcW w:w="441" w:type="pct"/>
            <w:tcBorders>
              <w:top w:val="single" w:sz="8" w:space="0" w:color="auto"/>
              <w:left w:val="nil"/>
              <w:bottom w:val="single" w:sz="8" w:space="0" w:color="auto"/>
              <w:right w:val="nil"/>
            </w:tcBorders>
            <w:shd w:val="clear" w:color="auto" w:fill="auto"/>
            <w:noWrap/>
            <w:vAlign w:val="bottom"/>
            <w:hideMark/>
          </w:tcPr>
          <w:p w14:paraId="6539E660" w14:textId="77777777" w:rsidR="00701071" w:rsidRPr="00701071" w:rsidRDefault="00701071" w:rsidP="00701071">
            <w:pPr>
              <w:pStyle w:val="ESVTablebody"/>
              <w:rPr>
                <w:b/>
                <w:lang w:eastAsia="en-AU"/>
              </w:rPr>
            </w:pPr>
            <w:r w:rsidRPr="00701071">
              <w:rPr>
                <w:b/>
                <w:lang w:eastAsia="en-AU"/>
              </w:rPr>
              <w:t>Code</w:t>
            </w:r>
          </w:p>
        </w:tc>
        <w:tc>
          <w:tcPr>
            <w:tcW w:w="515" w:type="pct"/>
            <w:tcBorders>
              <w:top w:val="single" w:sz="8" w:space="0" w:color="auto"/>
              <w:left w:val="nil"/>
              <w:bottom w:val="single" w:sz="8" w:space="0" w:color="auto"/>
              <w:right w:val="nil"/>
            </w:tcBorders>
            <w:shd w:val="clear" w:color="auto" w:fill="auto"/>
            <w:noWrap/>
            <w:vAlign w:val="bottom"/>
            <w:hideMark/>
          </w:tcPr>
          <w:p w14:paraId="7947CADC" w14:textId="77777777" w:rsidR="00701071" w:rsidRPr="00701071" w:rsidRDefault="00701071" w:rsidP="00701071">
            <w:pPr>
              <w:pStyle w:val="ESVTablebody"/>
              <w:rPr>
                <w:b/>
                <w:lang w:eastAsia="en-AU"/>
              </w:rPr>
            </w:pPr>
            <w:r w:rsidRPr="00701071">
              <w:rPr>
                <w:b/>
                <w:lang w:eastAsia="en-AU"/>
              </w:rPr>
              <w:t>Tranche</w:t>
            </w:r>
          </w:p>
        </w:tc>
        <w:tc>
          <w:tcPr>
            <w:tcW w:w="441" w:type="pct"/>
            <w:tcBorders>
              <w:top w:val="single" w:sz="8" w:space="0" w:color="auto"/>
              <w:left w:val="nil"/>
              <w:bottom w:val="single" w:sz="8" w:space="0" w:color="auto"/>
              <w:right w:val="nil"/>
            </w:tcBorders>
            <w:shd w:val="clear" w:color="auto" w:fill="auto"/>
            <w:noWrap/>
            <w:vAlign w:val="bottom"/>
            <w:hideMark/>
          </w:tcPr>
          <w:p w14:paraId="523E5FE5" w14:textId="179F7715" w:rsidR="00701071" w:rsidRPr="00701071" w:rsidRDefault="00477883" w:rsidP="00701071">
            <w:pPr>
              <w:pStyle w:val="ESVTablebody"/>
              <w:rPr>
                <w:b/>
                <w:lang w:eastAsia="en-AU"/>
              </w:rPr>
            </w:pPr>
            <w:r>
              <w:rPr>
                <w:b/>
                <w:lang w:eastAsia="en-AU"/>
              </w:rPr>
              <w:t>Points</w:t>
            </w:r>
          </w:p>
        </w:tc>
        <w:tc>
          <w:tcPr>
            <w:tcW w:w="1177" w:type="pct"/>
            <w:tcBorders>
              <w:top w:val="single" w:sz="8" w:space="0" w:color="auto"/>
              <w:left w:val="nil"/>
              <w:bottom w:val="single" w:sz="8" w:space="0" w:color="auto"/>
              <w:right w:val="nil"/>
            </w:tcBorders>
            <w:shd w:val="clear" w:color="auto" w:fill="auto"/>
            <w:noWrap/>
            <w:vAlign w:val="bottom"/>
            <w:hideMark/>
          </w:tcPr>
          <w:p w14:paraId="3DF1A557" w14:textId="77777777" w:rsidR="00701071" w:rsidRPr="00701071" w:rsidRDefault="00701071" w:rsidP="00701071">
            <w:pPr>
              <w:pStyle w:val="ESVTablebody"/>
              <w:rPr>
                <w:b/>
                <w:lang w:eastAsia="en-AU"/>
              </w:rPr>
            </w:pPr>
            <w:r w:rsidRPr="00701071">
              <w:rPr>
                <w:b/>
                <w:lang w:eastAsia="en-AU"/>
              </w:rPr>
              <w:t>Available for Service</w:t>
            </w:r>
          </w:p>
        </w:tc>
        <w:tc>
          <w:tcPr>
            <w:tcW w:w="1249" w:type="pct"/>
            <w:tcBorders>
              <w:top w:val="single" w:sz="8" w:space="0" w:color="auto"/>
              <w:left w:val="nil"/>
              <w:bottom w:val="single" w:sz="8" w:space="0" w:color="auto"/>
              <w:right w:val="nil"/>
            </w:tcBorders>
            <w:shd w:val="clear" w:color="auto" w:fill="auto"/>
            <w:noWrap/>
            <w:vAlign w:val="bottom"/>
            <w:hideMark/>
          </w:tcPr>
          <w:p w14:paraId="7A60C994" w14:textId="5BA83034" w:rsidR="00701071" w:rsidRPr="00701071" w:rsidRDefault="00362285" w:rsidP="00701071">
            <w:pPr>
              <w:pStyle w:val="ESVTablebody"/>
              <w:rPr>
                <w:b/>
                <w:lang w:eastAsia="en-AU"/>
              </w:rPr>
            </w:pPr>
            <w:r>
              <w:rPr>
                <w:b/>
                <w:lang w:eastAsia="en-AU"/>
              </w:rPr>
              <w:t>Accepted as Compliant</w:t>
            </w:r>
          </w:p>
        </w:tc>
      </w:tr>
      <w:tr w:rsidR="00701071" w:rsidRPr="00701071" w14:paraId="38AF6A7F" w14:textId="77777777" w:rsidTr="00660470">
        <w:trPr>
          <w:trHeight w:val="300"/>
        </w:trPr>
        <w:tc>
          <w:tcPr>
            <w:tcW w:w="1177" w:type="pct"/>
            <w:tcBorders>
              <w:top w:val="nil"/>
              <w:left w:val="nil"/>
              <w:bottom w:val="nil"/>
              <w:right w:val="nil"/>
            </w:tcBorders>
            <w:shd w:val="clear" w:color="auto" w:fill="auto"/>
            <w:noWrap/>
            <w:vAlign w:val="bottom"/>
            <w:hideMark/>
          </w:tcPr>
          <w:p w14:paraId="2DDF8A50" w14:textId="77777777" w:rsidR="00701071" w:rsidRPr="00701071" w:rsidRDefault="00701071" w:rsidP="00701071">
            <w:pPr>
              <w:pStyle w:val="ESVTablebody"/>
              <w:rPr>
                <w:lang w:eastAsia="en-AU"/>
              </w:rPr>
            </w:pPr>
            <w:r w:rsidRPr="00701071">
              <w:rPr>
                <w:lang w:eastAsia="en-AU"/>
              </w:rPr>
              <w:t>Camperdown</w:t>
            </w:r>
          </w:p>
        </w:tc>
        <w:tc>
          <w:tcPr>
            <w:tcW w:w="441" w:type="pct"/>
            <w:tcBorders>
              <w:top w:val="nil"/>
              <w:left w:val="nil"/>
              <w:bottom w:val="nil"/>
              <w:right w:val="nil"/>
            </w:tcBorders>
            <w:shd w:val="clear" w:color="auto" w:fill="auto"/>
            <w:noWrap/>
            <w:vAlign w:val="bottom"/>
            <w:hideMark/>
          </w:tcPr>
          <w:p w14:paraId="73C9E45E" w14:textId="77777777" w:rsidR="00701071" w:rsidRPr="00701071" w:rsidRDefault="00701071" w:rsidP="00701071">
            <w:pPr>
              <w:pStyle w:val="ESVTablebody"/>
              <w:rPr>
                <w:lang w:eastAsia="en-AU"/>
              </w:rPr>
            </w:pPr>
            <w:r w:rsidRPr="00701071">
              <w:rPr>
                <w:lang w:eastAsia="en-AU"/>
              </w:rPr>
              <w:t>CDN</w:t>
            </w:r>
          </w:p>
        </w:tc>
        <w:tc>
          <w:tcPr>
            <w:tcW w:w="515" w:type="pct"/>
            <w:tcBorders>
              <w:top w:val="nil"/>
              <w:left w:val="nil"/>
              <w:bottom w:val="nil"/>
              <w:right w:val="nil"/>
            </w:tcBorders>
            <w:shd w:val="clear" w:color="auto" w:fill="auto"/>
            <w:noWrap/>
            <w:vAlign w:val="bottom"/>
            <w:hideMark/>
          </w:tcPr>
          <w:p w14:paraId="234AEB07" w14:textId="77777777" w:rsidR="00701071" w:rsidRPr="00701071" w:rsidRDefault="00701071" w:rsidP="00701071">
            <w:pPr>
              <w:pStyle w:val="ESVTablebody"/>
              <w:rPr>
                <w:lang w:eastAsia="en-AU"/>
              </w:rPr>
            </w:pPr>
            <w:r w:rsidRPr="00701071">
              <w:rPr>
                <w:lang w:eastAsia="en-AU"/>
              </w:rPr>
              <w:t>1</w:t>
            </w:r>
          </w:p>
        </w:tc>
        <w:tc>
          <w:tcPr>
            <w:tcW w:w="441" w:type="pct"/>
            <w:tcBorders>
              <w:top w:val="nil"/>
              <w:left w:val="nil"/>
              <w:bottom w:val="nil"/>
              <w:right w:val="nil"/>
            </w:tcBorders>
            <w:shd w:val="clear" w:color="auto" w:fill="auto"/>
            <w:noWrap/>
            <w:vAlign w:val="bottom"/>
            <w:hideMark/>
          </w:tcPr>
          <w:p w14:paraId="0C272F35" w14:textId="77777777" w:rsidR="00701071" w:rsidRPr="00701071" w:rsidRDefault="00701071" w:rsidP="00701071">
            <w:pPr>
              <w:pStyle w:val="ESVTablebody"/>
              <w:rPr>
                <w:lang w:eastAsia="en-AU"/>
              </w:rPr>
            </w:pPr>
            <w:r w:rsidRPr="00701071">
              <w:rPr>
                <w:lang w:eastAsia="en-AU"/>
              </w:rPr>
              <w:t>4</w:t>
            </w:r>
          </w:p>
        </w:tc>
        <w:tc>
          <w:tcPr>
            <w:tcW w:w="1177" w:type="pct"/>
            <w:tcBorders>
              <w:top w:val="nil"/>
              <w:left w:val="nil"/>
              <w:bottom w:val="nil"/>
              <w:right w:val="nil"/>
            </w:tcBorders>
            <w:shd w:val="clear" w:color="000000" w:fill="C6EFCE"/>
            <w:noWrap/>
            <w:vAlign w:val="bottom"/>
            <w:hideMark/>
          </w:tcPr>
          <w:p w14:paraId="564AB88E"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0B96F130"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0C6BDC38" w14:textId="77777777" w:rsidTr="00660470">
        <w:trPr>
          <w:trHeight w:val="300"/>
        </w:trPr>
        <w:tc>
          <w:tcPr>
            <w:tcW w:w="1177" w:type="pct"/>
            <w:tcBorders>
              <w:top w:val="nil"/>
              <w:left w:val="nil"/>
              <w:bottom w:val="nil"/>
              <w:right w:val="nil"/>
            </w:tcBorders>
            <w:shd w:val="clear" w:color="auto" w:fill="auto"/>
            <w:noWrap/>
            <w:vAlign w:val="bottom"/>
            <w:hideMark/>
          </w:tcPr>
          <w:p w14:paraId="3C955C7C" w14:textId="77777777" w:rsidR="00701071" w:rsidRPr="00701071" w:rsidRDefault="00701071" w:rsidP="00701071">
            <w:pPr>
              <w:pStyle w:val="ESVTablebody"/>
              <w:rPr>
                <w:lang w:eastAsia="en-AU"/>
              </w:rPr>
            </w:pPr>
            <w:r w:rsidRPr="00701071">
              <w:rPr>
                <w:lang w:eastAsia="en-AU"/>
              </w:rPr>
              <w:t>Castlemaine</w:t>
            </w:r>
          </w:p>
        </w:tc>
        <w:tc>
          <w:tcPr>
            <w:tcW w:w="441" w:type="pct"/>
            <w:tcBorders>
              <w:top w:val="nil"/>
              <w:left w:val="nil"/>
              <w:bottom w:val="nil"/>
              <w:right w:val="nil"/>
            </w:tcBorders>
            <w:shd w:val="clear" w:color="auto" w:fill="auto"/>
            <w:noWrap/>
            <w:vAlign w:val="bottom"/>
            <w:hideMark/>
          </w:tcPr>
          <w:p w14:paraId="4909CC6D" w14:textId="77777777" w:rsidR="00701071" w:rsidRPr="00701071" w:rsidRDefault="00701071" w:rsidP="00701071">
            <w:pPr>
              <w:pStyle w:val="ESVTablebody"/>
              <w:rPr>
                <w:lang w:eastAsia="en-AU"/>
              </w:rPr>
            </w:pPr>
            <w:r w:rsidRPr="00701071">
              <w:rPr>
                <w:lang w:eastAsia="en-AU"/>
              </w:rPr>
              <w:t>CMN</w:t>
            </w:r>
          </w:p>
        </w:tc>
        <w:tc>
          <w:tcPr>
            <w:tcW w:w="515" w:type="pct"/>
            <w:tcBorders>
              <w:top w:val="nil"/>
              <w:left w:val="nil"/>
              <w:bottom w:val="nil"/>
              <w:right w:val="nil"/>
            </w:tcBorders>
            <w:shd w:val="clear" w:color="auto" w:fill="auto"/>
            <w:noWrap/>
            <w:vAlign w:val="bottom"/>
            <w:hideMark/>
          </w:tcPr>
          <w:p w14:paraId="17F44119" w14:textId="77777777" w:rsidR="00701071" w:rsidRPr="00701071" w:rsidRDefault="00701071" w:rsidP="00701071">
            <w:pPr>
              <w:pStyle w:val="ESVTablebody"/>
              <w:rPr>
                <w:lang w:eastAsia="en-AU"/>
              </w:rPr>
            </w:pPr>
            <w:r w:rsidRPr="00701071">
              <w:rPr>
                <w:lang w:eastAsia="en-AU"/>
              </w:rPr>
              <w:t>1</w:t>
            </w:r>
          </w:p>
        </w:tc>
        <w:tc>
          <w:tcPr>
            <w:tcW w:w="441" w:type="pct"/>
            <w:tcBorders>
              <w:top w:val="nil"/>
              <w:left w:val="nil"/>
              <w:bottom w:val="nil"/>
              <w:right w:val="nil"/>
            </w:tcBorders>
            <w:shd w:val="clear" w:color="auto" w:fill="auto"/>
            <w:noWrap/>
            <w:vAlign w:val="bottom"/>
            <w:hideMark/>
          </w:tcPr>
          <w:p w14:paraId="10722B36" w14:textId="77777777" w:rsidR="00701071" w:rsidRPr="00701071" w:rsidRDefault="00701071" w:rsidP="00701071">
            <w:pPr>
              <w:pStyle w:val="ESVTablebody"/>
              <w:rPr>
                <w:lang w:eastAsia="en-AU"/>
              </w:rPr>
            </w:pPr>
            <w:r w:rsidRPr="00701071">
              <w:rPr>
                <w:lang w:eastAsia="en-AU"/>
              </w:rPr>
              <w:t>4</w:t>
            </w:r>
          </w:p>
        </w:tc>
        <w:tc>
          <w:tcPr>
            <w:tcW w:w="1177" w:type="pct"/>
            <w:tcBorders>
              <w:top w:val="nil"/>
              <w:left w:val="nil"/>
              <w:bottom w:val="nil"/>
              <w:right w:val="nil"/>
            </w:tcBorders>
            <w:shd w:val="clear" w:color="000000" w:fill="C6EFCE"/>
            <w:noWrap/>
            <w:vAlign w:val="bottom"/>
            <w:hideMark/>
          </w:tcPr>
          <w:p w14:paraId="06F062E7"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4F0EF8CE"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571BB4C1" w14:textId="77777777" w:rsidTr="00660470">
        <w:trPr>
          <w:trHeight w:val="300"/>
        </w:trPr>
        <w:tc>
          <w:tcPr>
            <w:tcW w:w="1177" w:type="pct"/>
            <w:tcBorders>
              <w:top w:val="nil"/>
              <w:left w:val="nil"/>
              <w:bottom w:val="nil"/>
              <w:right w:val="nil"/>
            </w:tcBorders>
            <w:shd w:val="clear" w:color="auto" w:fill="auto"/>
            <w:noWrap/>
            <w:vAlign w:val="bottom"/>
            <w:hideMark/>
          </w:tcPr>
          <w:p w14:paraId="20EBFA9B" w14:textId="77777777" w:rsidR="00701071" w:rsidRPr="00701071" w:rsidRDefault="00701071" w:rsidP="00701071">
            <w:pPr>
              <w:pStyle w:val="ESVTablebody"/>
              <w:rPr>
                <w:lang w:eastAsia="en-AU"/>
              </w:rPr>
            </w:pPr>
            <w:r w:rsidRPr="00701071">
              <w:rPr>
                <w:lang w:eastAsia="en-AU"/>
              </w:rPr>
              <w:t>Eaglehawk</w:t>
            </w:r>
          </w:p>
        </w:tc>
        <w:tc>
          <w:tcPr>
            <w:tcW w:w="441" w:type="pct"/>
            <w:tcBorders>
              <w:top w:val="nil"/>
              <w:left w:val="nil"/>
              <w:bottom w:val="nil"/>
              <w:right w:val="nil"/>
            </w:tcBorders>
            <w:shd w:val="clear" w:color="auto" w:fill="auto"/>
            <w:noWrap/>
            <w:vAlign w:val="bottom"/>
            <w:hideMark/>
          </w:tcPr>
          <w:p w14:paraId="17F9D0DF" w14:textId="77777777" w:rsidR="00701071" w:rsidRPr="00701071" w:rsidRDefault="00701071" w:rsidP="00701071">
            <w:pPr>
              <w:pStyle w:val="ESVTablebody"/>
              <w:rPr>
                <w:lang w:eastAsia="en-AU"/>
              </w:rPr>
            </w:pPr>
            <w:r w:rsidRPr="00701071">
              <w:rPr>
                <w:lang w:eastAsia="en-AU"/>
              </w:rPr>
              <w:t>EHK</w:t>
            </w:r>
          </w:p>
        </w:tc>
        <w:tc>
          <w:tcPr>
            <w:tcW w:w="515" w:type="pct"/>
            <w:tcBorders>
              <w:top w:val="nil"/>
              <w:left w:val="nil"/>
              <w:bottom w:val="nil"/>
              <w:right w:val="nil"/>
            </w:tcBorders>
            <w:shd w:val="clear" w:color="auto" w:fill="auto"/>
            <w:noWrap/>
            <w:vAlign w:val="bottom"/>
            <w:hideMark/>
          </w:tcPr>
          <w:p w14:paraId="65CEB634" w14:textId="77777777" w:rsidR="00701071" w:rsidRPr="00701071" w:rsidRDefault="00701071" w:rsidP="00701071">
            <w:pPr>
              <w:pStyle w:val="ESVTablebody"/>
              <w:rPr>
                <w:lang w:eastAsia="en-AU"/>
              </w:rPr>
            </w:pPr>
            <w:r w:rsidRPr="00701071">
              <w:rPr>
                <w:lang w:eastAsia="en-AU"/>
              </w:rPr>
              <w:t>1</w:t>
            </w:r>
          </w:p>
        </w:tc>
        <w:tc>
          <w:tcPr>
            <w:tcW w:w="441" w:type="pct"/>
            <w:tcBorders>
              <w:top w:val="nil"/>
              <w:left w:val="nil"/>
              <w:bottom w:val="nil"/>
              <w:right w:val="nil"/>
            </w:tcBorders>
            <w:shd w:val="clear" w:color="auto" w:fill="auto"/>
            <w:noWrap/>
            <w:vAlign w:val="bottom"/>
            <w:hideMark/>
          </w:tcPr>
          <w:p w14:paraId="4630D5C3" w14:textId="77777777" w:rsidR="00701071" w:rsidRPr="00701071" w:rsidRDefault="00701071" w:rsidP="00701071">
            <w:pPr>
              <w:pStyle w:val="ESVTablebody"/>
              <w:rPr>
                <w:lang w:eastAsia="en-AU"/>
              </w:rPr>
            </w:pPr>
            <w:r w:rsidRPr="00701071">
              <w:rPr>
                <w:lang w:eastAsia="en-AU"/>
              </w:rPr>
              <w:t>5</w:t>
            </w:r>
          </w:p>
        </w:tc>
        <w:tc>
          <w:tcPr>
            <w:tcW w:w="1177" w:type="pct"/>
            <w:tcBorders>
              <w:top w:val="nil"/>
              <w:left w:val="nil"/>
              <w:bottom w:val="nil"/>
              <w:right w:val="nil"/>
            </w:tcBorders>
            <w:shd w:val="clear" w:color="000000" w:fill="C6EFCE"/>
            <w:noWrap/>
            <w:vAlign w:val="bottom"/>
            <w:hideMark/>
          </w:tcPr>
          <w:p w14:paraId="5A8570C1"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4C4390ED"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7D04ADBF" w14:textId="77777777" w:rsidTr="00660470">
        <w:trPr>
          <w:trHeight w:val="300"/>
        </w:trPr>
        <w:tc>
          <w:tcPr>
            <w:tcW w:w="1177" w:type="pct"/>
            <w:tcBorders>
              <w:top w:val="nil"/>
              <w:left w:val="nil"/>
              <w:bottom w:val="nil"/>
              <w:right w:val="nil"/>
            </w:tcBorders>
            <w:shd w:val="clear" w:color="auto" w:fill="auto"/>
            <w:noWrap/>
            <w:vAlign w:val="bottom"/>
            <w:hideMark/>
          </w:tcPr>
          <w:p w14:paraId="5CF23617" w14:textId="77777777" w:rsidR="00701071" w:rsidRPr="00701071" w:rsidRDefault="00701071" w:rsidP="00701071">
            <w:pPr>
              <w:pStyle w:val="ESVTablebody"/>
              <w:rPr>
                <w:lang w:eastAsia="en-AU"/>
              </w:rPr>
            </w:pPr>
            <w:r w:rsidRPr="00701071">
              <w:rPr>
                <w:lang w:eastAsia="en-AU"/>
              </w:rPr>
              <w:t>Gisborne</w:t>
            </w:r>
          </w:p>
        </w:tc>
        <w:tc>
          <w:tcPr>
            <w:tcW w:w="441" w:type="pct"/>
            <w:tcBorders>
              <w:top w:val="nil"/>
              <w:left w:val="nil"/>
              <w:bottom w:val="nil"/>
              <w:right w:val="nil"/>
            </w:tcBorders>
            <w:shd w:val="clear" w:color="auto" w:fill="auto"/>
            <w:noWrap/>
            <w:vAlign w:val="bottom"/>
            <w:hideMark/>
          </w:tcPr>
          <w:p w14:paraId="5311F25C" w14:textId="77777777" w:rsidR="00701071" w:rsidRPr="00701071" w:rsidRDefault="00701071" w:rsidP="00701071">
            <w:pPr>
              <w:pStyle w:val="ESVTablebody"/>
              <w:rPr>
                <w:lang w:eastAsia="en-AU"/>
              </w:rPr>
            </w:pPr>
            <w:r w:rsidRPr="00701071">
              <w:rPr>
                <w:lang w:eastAsia="en-AU"/>
              </w:rPr>
              <w:t>GSB</w:t>
            </w:r>
          </w:p>
        </w:tc>
        <w:tc>
          <w:tcPr>
            <w:tcW w:w="515" w:type="pct"/>
            <w:tcBorders>
              <w:top w:val="nil"/>
              <w:left w:val="nil"/>
              <w:bottom w:val="nil"/>
              <w:right w:val="nil"/>
            </w:tcBorders>
            <w:shd w:val="clear" w:color="auto" w:fill="auto"/>
            <w:noWrap/>
            <w:vAlign w:val="bottom"/>
            <w:hideMark/>
          </w:tcPr>
          <w:p w14:paraId="728BA3BD" w14:textId="77777777" w:rsidR="00701071" w:rsidRPr="00701071" w:rsidRDefault="00701071" w:rsidP="00701071">
            <w:pPr>
              <w:pStyle w:val="ESVTablebody"/>
              <w:rPr>
                <w:lang w:eastAsia="en-AU"/>
              </w:rPr>
            </w:pPr>
            <w:r w:rsidRPr="00701071">
              <w:rPr>
                <w:lang w:eastAsia="en-AU"/>
              </w:rPr>
              <w:t>1</w:t>
            </w:r>
          </w:p>
        </w:tc>
        <w:tc>
          <w:tcPr>
            <w:tcW w:w="441" w:type="pct"/>
            <w:tcBorders>
              <w:top w:val="nil"/>
              <w:left w:val="nil"/>
              <w:bottom w:val="nil"/>
              <w:right w:val="nil"/>
            </w:tcBorders>
            <w:shd w:val="clear" w:color="auto" w:fill="auto"/>
            <w:noWrap/>
            <w:vAlign w:val="bottom"/>
            <w:hideMark/>
          </w:tcPr>
          <w:p w14:paraId="72156E36" w14:textId="77777777" w:rsidR="00701071" w:rsidRPr="00701071" w:rsidRDefault="00701071" w:rsidP="00701071">
            <w:pPr>
              <w:pStyle w:val="ESVTablebody"/>
              <w:rPr>
                <w:lang w:eastAsia="en-AU"/>
              </w:rPr>
            </w:pPr>
            <w:r w:rsidRPr="00701071">
              <w:rPr>
                <w:lang w:eastAsia="en-AU"/>
              </w:rPr>
              <w:t>3</w:t>
            </w:r>
          </w:p>
        </w:tc>
        <w:tc>
          <w:tcPr>
            <w:tcW w:w="1177" w:type="pct"/>
            <w:tcBorders>
              <w:top w:val="nil"/>
              <w:left w:val="nil"/>
              <w:bottom w:val="nil"/>
              <w:right w:val="nil"/>
            </w:tcBorders>
            <w:shd w:val="clear" w:color="000000" w:fill="C6EFCE"/>
            <w:noWrap/>
            <w:vAlign w:val="bottom"/>
            <w:hideMark/>
          </w:tcPr>
          <w:p w14:paraId="3B3204D4"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08F0128F"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170513E0" w14:textId="77777777" w:rsidTr="00660470">
        <w:trPr>
          <w:trHeight w:val="300"/>
        </w:trPr>
        <w:tc>
          <w:tcPr>
            <w:tcW w:w="1177" w:type="pct"/>
            <w:tcBorders>
              <w:top w:val="nil"/>
              <w:left w:val="nil"/>
              <w:bottom w:val="nil"/>
              <w:right w:val="nil"/>
            </w:tcBorders>
            <w:shd w:val="clear" w:color="auto" w:fill="auto"/>
            <w:noWrap/>
            <w:vAlign w:val="bottom"/>
            <w:hideMark/>
          </w:tcPr>
          <w:p w14:paraId="378A6243" w14:textId="77777777" w:rsidR="00701071" w:rsidRPr="00701071" w:rsidRDefault="00701071" w:rsidP="00701071">
            <w:pPr>
              <w:pStyle w:val="ESVTablebody"/>
              <w:rPr>
                <w:lang w:eastAsia="en-AU"/>
              </w:rPr>
            </w:pPr>
            <w:r w:rsidRPr="00701071">
              <w:rPr>
                <w:lang w:eastAsia="en-AU"/>
              </w:rPr>
              <w:t>Maryborough</w:t>
            </w:r>
          </w:p>
        </w:tc>
        <w:tc>
          <w:tcPr>
            <w:tcW w:w="441" w:type="pct"/>
            <w:tcBorders>
              <w:top w:val="nil"/>
              <w:left w:val="nil"/>
              <w:bottom w:val="nil"/>
              <w:right w:val="nil"/>
            </w:tcBorders>
            <w:shd w:val="clear" w:color="auto" w:fill="auto"/>
            <w:noWrap/>
            <w:vAlign w:val="bottom"/>
            <w:hideMark/>
          </w:tcPr>
          <w:p w14:paraId="52E87124" w14:textId="77777777" w:rsidR="00701071" w:rsidRPr="00701071" w:rsidRDefault="00701071" w:rsidP="00701071">
            <w:pPr>
              <w:pStyle w:val="ESVTablebody"/>
              <w:rPr>
                <w:lang w:eastAsia="en-AU"/>
              </w:rPr>
            </w:pPr>
            <w:r w:rsidRPr="00701071">
              <w:rPr>
                <w:lang w:eastAsia="en-AU"/>
              </w:rPr>
              <w:t>MRO</w:t>
            </w:r>
          </w:p>
        </w:tc>
        <w:tc>
          <w:tcPr>
            <w:tcW w:w="515" w:type="pct"/>
            <w:tcBorders>
              <w:top w:val="nil"/>
              <w:left w:val="nil"/>
              <w:bottom w:val="nil"/>
              <w:right w:val="nil"/>
            </w:tcBorders>
            <w:shd w:val="clear" w:color="auto" w:fill="auto"/>
            <w:noWrap/>
            <w:vAlign w:val="bottom"/>
            <w:hideMark/>
          </w:tcPr>
          <w:p w14:paraId="3A4952E3" w14:textId="77777777" w:rsidR="00701071" w:rsidRPr="00701071" w:rsidRDefault="00701071" w:rsidP="00701071">
            <w:pPr>
              <w:pStyle w:val="ESVTablebody"/>
              <w:rPr>
                <w:lang w:eastAsia="en-AU"/>
              </w:rPr>
            </w:pPr>
            <w:r w:rsidRPr="00701071">
              <w:rPr>
                <w:lang w:eastAsia="en-AU"/>
              </w:rPr>
              <w:t>1</w:t>
            </w:r>
          </w:p>
        </w:tc>
        <w:tc>
          <w:tcPr>
            <w:tcW w:w="441" w:type="pct"/>
            <w:tcBorders>
              <w:top w:val="nil"/>
              <w:left w:val="nil"/>
              <w:bottom w:val="nil"/>
              <w:right w:val="nil"/>
            </w:tcBorders>
            <w:shd w:val="clear" w:color="auto" w:fill="auto"/>
            <w:noWrap/>
            <w:vAlign w:val="bottom"/>
            <w:hideMark/>
          </w:tcPr>
          <w:p w14:paraId="29FD9C04" w14:textId="77777777" w:rsidR="00701071" w:rsidRPr="00701071" w:rsidRDefault="00701071" w:rsidP="00701071">
            <w:pPr>
              <w:pStyle w:val="ESVTablebody"/>
              <w:rPr>
                <w:lang w:eastAsia="en-AU"/>
              </w:rPr>
            </w:pPr>
            <w:r w:rsidRPr="00701071">
              <w:rPr>
                <w:lang w:eastAsia="en-AU"/>
              </w:rPr>
              <w:t>5</w:t>
            </w:r>
          </w:p>
        </w:tc>
        <w:tc>
          <w:tcPr>
            <w:tcW w:w="1177" w:type="pct"/>
            <w:tcBorders>
              <w:top w:val="nil"/>
              <w:left w:val="nil"/>
              <w:bottom w:val="nil"/>
              <w:right w:val="nil"/>
            </w:tcBorders>
            <w:shd w:val="clear" w:color="000000" w:fill="C6EFCE"/>
            <w:noWrap/>
            <w:vAlign w:val="bottom"/>
            <w:hideMark/>
          </w:tcPr>
          <w:p w14:paraId="01571F39"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0655720D"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2B4E9D4A" w14:textId="77777777" w:rsidTr="00660470">
        <w:trPr>
          <w:trHeight w:val="300"/>
        </w:trPr>
        <w:tc>
          <w:tcPr>
            <w:tcW w:w="1177" w:type="pct"/>
            <w:tcBorders>
              <w:top w:val="nil"/>
              <w:left w:val="nil"/>
              <w:bottom w:val="nil"/>
              <w:right w:val="nil"/>
            </w:tcBorders>
            <w:shd w:val="clear" w:color="auto" w:fill="auto"/>
            <w:noWrap/>
            <w:vAlign w:val="bottom"/>
            <w:hideMark/>
          </w:tcPr>
          <w:p w14:paraId="38D82B5C" w14:textId="77777777" w:rsidR="00701071" w:rsidRPr="00701071" w:rsidRDefault="00701071" w:rsidP="00701071">
            <w:pPr>
              <w:pStyle w:val="ESVTablebody"/>
              <w:rPr>
                <w:lang w:eastAsia="en-AU"/>
              </w:rPr>
            </w:pPr>
            <w:r w:rsidRPr="00701071">
              <w:rPr>
                <w:lang w:eastAsia="en-AU"/>
              </w:rPr>
              <w:t>Winchelsea</w:t>
            </w:r>
          </w:p>
        </w:tc>
        <w:tc>
          <w:tcPr>
            <w:tcW w:w="441" w:type="pct"/>
            <w:tcBorders>
              <w:top w:val="nil"/>
              <w:left w:val="nil"/>
              <w:bottom w:val="nil"/>
              <w:right w:val="nil"/>
            </w:tcBorders>
            <w:shd w:val="clear" w:color="auto" w:fill="auto"/>
            <w:noWrap/>
            <w:vAlign w:val="bottom"/>
            <w:hideMark/>
          </w:tcPr>
          <w:p w14:paraId="58043EB8" w14:textId="77777777" w:rsidR="00701071" w:rsidRPr="00701071" w:rsidRDefault="00701071" w:rsidP="00701071">
            <w:pPr>
              <w:pStyle w:val="ESVTablebody"/>
              <w:rPr>
                <w:lang w:eastAsia="en-AU"/>
              </w:rPr>
            </w:pPr>
            <w:r w:rsidRPr="00701071">
              <w:rPr>
                <w:lang w:eastAsia="en-AU"/>
              </w:rPr>
              <w:t>WIN</w:t>
            </w:r>
          </w:p>
        </w:tc>
        <w:tc>
          <w:tcPr>
            <w:tcW w:w="515" w:type="pct"/>
            <w:tcBorders>
              <w:top w:val="nil"/>
              <w:left w:val="nil"/>
              <w:bottom w:val="nil"/>
              <w:right w:val="nil"/>
            </w:tcBorders>
            <w:shd w:val="clear" w:color="auto" w:fill="auto"/>
            <w:noWrap/>
            <w:vAlign w:val="bottom"/>
            <w:hideMark/>
          </w:tcPr>
          <w:p w14:paraId="35E70424" w14:textId="77777777" w:rsidR="00701071" w:rsidRPr="00701071" w:rsidRDefault="00701071" w:rsidP="00701071">
            <w:pPr>
              <w:pStyle w:val="ESVTablebody"/>
              <w:rPr>
                <w:lang w:eastAsia="en-AU"/>
              </w:rPr>
            </w:pPr>
            <w:r w:rsidRPr="00701071">
              <w:rPr>
                <w:lang w:eastAsia="en-AU"/>
              </w:rPr>
              <w:t>1</w:t>
            </w:r>
          </w:p>
        </w:tc>
        <w:tc>
          <w:tcPr>
            <w:tcW w:w="441" w:type="pct"/>
            <w:tcBorders>
              <w:top w:val="nil"/>
              <w:left w:val="nil"/>
              <w:bottom w:val="nil"/>
              <w:right w:val="nil"/>
            </w:tcBorders>
            <w:shd w:val="clear" w:color="auto" w:fill="auto"/>
            <w:noWrap/>
            <w:vAlign w:val="bottom"/>
            <w:hideMark/>
          </w:tcPr>
          <w:p w14:paraId="7A96B71C" w14:textId="77777777" w:rsidR="00701071" w:rsidRPr="00701071" w:rsidRDefault="00701071" w:rsidP="00701071">
            <w:pPr>
              <w:pStyle w:val="ESVTablebody"/>
              <w:rPr>
                <w:lang w:eastAsia="en-AU"/>
              </w:rPr>
            </w:pPr>
            <w:r w:rsidRPr="00701071">
              <w:rPr>
                <w:lang w:eastAsia="en-AU"/>
              </w:rPr>
              <w:t>5</w:t>
            </w:r>
          </w:p>
        </w:tc>
        <w:tc>
          <w:tcPr>
            <w:tcW w:w="1177" w:type="pct"/>
            <w:tcBorders>
              <w:top w:val="nil"/>
              <w:left w:val="nil"/>
              <w:bottom w:val="nil"/>
              <w:right w:val="nil"/>
            </w:tcBorders>
            <w:shd w:val="clear" w:color="000000" w:fill="C6EFCE"/>
            <w:noWrap/>
            <w:vAlign w:val="bottom"/>
            <w:hideMark/>
          </w:tcPr>
          <w:p w14:paraId="02FBABCE"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0BFAB06B"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3A3F6F03" w14:textId="77777777" w:rsidTr="00660470">
        <w:trPr>
          <w:trHeight w:val="300"/>
        </w:trPr>
        <w:tc>
          <w:tcPr>
            <w:tcW w:w="1177" w:type="pct"/>
            <w:tcBorders>
              <w:top w:val="nil"/>
              <w:left w:val="nil"/>
              <w:bottom w:val="nil"/>
              <w:right w:val="nil"/>
            </w:tcBorders>
            <w:shd w:val="clear" w:color="auto" w:fill="auto"/>
            <w:noWrap/>
            <w:vAlign w:val="bottom"/>
            <w:hideMark/>
          </w:tcPr>
          <w:p w14:paraId="01F4F4FF" w14:textId="77777777" w:rsidR="00701071" w:rsidRPr="00701071" w:rsidRDefault="00701071" w:rsidP="00701071">
            <w:pPr>
              <w:pStyle w:val="ESVTablebody"/>
              <w:rPr>
                <w:lang w:eastAsia="en-AU"/>
              </w:rPr>
            </w:pPr>
            <w:r w:rsidRPr="00701071">
              <w:rPr>
                <w:lang w:eastAsia="en-AU"/>
              </w:rPr>
              <w:t>Woodend</w:t>
            </w:r>
          </w:p>
        </w:tc>
        <w:tc>
          <w:tcPr>
            <w:tcW w:w="441" w:type="pct"/>
            <w:tcBorders>
              <w:top w:val="nil"/>
              <w:left w:val="nil"/>
              <w:bottom w:val="nil"/>
              <w:right w:val="nil"/>
            </w:tcBorders>
            <w:shd w:val="clear" w:color="auto" w:fill="auto"/>
            <w:noWrap/>
            <w:vAlign w:val="bottom"/>
            <w:hideMark/>
          </w:tcPr>
          <w:p w14:paraId="2D678C0E" w14:textId="77777777" w:rsidR="00701071" w:rsidRPr="00701071" w:rsidRDefault="00701071" w:rsidP="00701071">
            <w:pPr>
              <w:pStyle w:val="ESVTablebody"/>
              <w:rPr>
                <w:lang w:eastAsia="en-AU"/>
              </w:rPr>
            </w:pPr>
            <w:r w:rsidRPr="00701071">
              <w:rPr>
                <w:lang w:eastAsia="en-AU"/>
              </w:rPr>
              <w:t>WND</w:t>
            </w:r>
          </w:p>
        </w:tc>
        <w:tc>
          <w:tcPr>
            <w:tcW w:w="515" w:type="pct"/>
            <w:tcBorders>
              <w:top w:val="nil"/>
              <w:left w:val="nil"/>
              <w:bottom w:val="nil"/>
              <w:right w:val="nil"/>
            </w:tcBorders>
            <w:shd w:val="clear" w:color="auto" w:fill="auto"/>
            <w:noWrap/>
            <w:vAlign w:val="bottom"/>
            <w:hideMark/>
          </w:tcPr>
          <w:p w14:paraId="7874B3C3" w14:textId="77777777" w:rsidR="00701071" w:rsidRPr="00701071" w:rsidRDefault="00701071" w:rsidP="00701071">
            <w:pPr>
              <w:pStyle w:val="ESVTablebody"/>
              <w:rPr>
                <w:lang w:eastAsia="en-AU"/>
              </w:rPr>
            </w:pPr>
            <w:r w:rsidRPr="00701071">
              <w:rPr>
                <w:lang w:eastAsia="en-AU"/>
              </w:rPr>
              <w:t>1</w:t>
            </w:r>
          </w:p>
        </w:tc>
        <w:tc>
          <w:tcPr>
            <w:tcW w:w="441" w:type="pct"/>
            <w:tcBorders>
              <w:top w:val="nil"/>
              <w:left w:val="nil"/>
              <w:bottom w:val="nil"/>
              <w:right w:val="nil"/>
            </w:tcBorders>
            <w:shd w:val="clear" w:color="auto" w:fill="auto"/>
            <w:noWrap/>
            <w:vAlign w:val="bottom"/>
            <w:hideMark/>
          </w:tcPr>
          <w:p w14:paraId="302141A8" w14:textId="77777777" w:rsidR="00701071" w:rsidRPr="00701071" w:rsidRDefault="00701071" w:rsidP="00701071">
            <w:pPr>
              <w:pStyle w:val="ESVTablebody"/>
              <w:rPr>
                <w:lang w:eastAsia="en-AU"/>
              </w:rPr>
            </w:pPr>
            <w:r w:rsidRPr="00701071">
              <w:rPr>
                <w:lang w:eastAsia="en-AU"/>
              </w:rPr>
              <w:t>4</w:t>
            </w:r>
          </w:p>
        </w:tc>
        <w:tc>
          <w:tcPr>
            <w:tcW w:w="1177" w:type="pct"/>
            <w:tcBorders>
              <w:top w:val="nil"/>
              <w:left w:val="nil"/>
              <w:bottom w:val="nil"/>
              <w:right w:val="nil"/>
            </w:tcBorders>
            <w:shd w:val="clear" w:color="000000" w:fill="C6EFCE"/>
            <w:noWrap/>
            <w:vAlign w:val="bottom"/>
            <w:hideMark/>
          </w:tcPr>
          <w:p w14:paraId="06E08501"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6E5B28F7"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580169DF" w14:textId="77777777" w:rsidTr="00660470">
        <w:trPr>
          <w:trHeight w:val="300"/>
        </w:trPr>
        <w:tc>
          <w:tcPr>
            <w:tcW w:w="1177" w:type="pct"/>
            <w:tcBorders>
              <w:top w:val="single" w:sz="4" w:space="0" w:color="auto"/>
              <w:left w:val="nil"/>
              <w:bottom w:val="single" w:sz="4" w:space="0" w:color="auto"/>
              <w:right w:val="nil"/>
            </w:tcBorders>
            <w:shd w:val="clear" w:color="auto" w:fill="auto"/>
            <w:noWrap/>
            <w:vAlign w:val="bottom"/>
            <w:hideMark/>
          </w:tcPr>
          <w:p w14:paraId="2E92937E" w14:textId="77777777" w:rsidR="00701071" w:rsidRPr="00701071" w:rsidRDefault="00701071" w:rsidP="00701071">
            <w:pPr>
              <w:pStyle w:val="ESVTablebody"/>
              <w:rPr>
                <w:b/>
                <w:lang w:eastAsia="en-AU"/>
              </w:rPr>
            </w:pPr>
            <w:r w:rsidRPr="00701071">
              <w:rPr>
                <w:b/>
                <w:lang w:eastAsia="en-AU"/>
              </w:rPr>
              <w:t>Tranche 1 (1 May 2019)</w:t>
            </w:r>
          </w:p>
        </w:tc>
        <w:tc>
          <w:tcPr>
            <w:tcW w:w="956" w:type="pct"/>
            <w:gridSpan w:val="2"/>
            <w:tcBorders>
              <w:top w:val="single" w:sz="4" w:space="0" w:color="auto"/>
              <w:left w:val="nil"/>
              <w:bottom w:val="single" w:sz="4" w:space="0" w:color="auto"/>
              <w:right w:val="nil"/>
            </w:tcBorders>
            <w:shd w:val="clear" w:color="auto" w:fill="auto"/>
            <w:noWrap/>
            <w:vAlign w:val="bottom"/>
            <w:hideMark/>
          </w:tcPr>
          <w:p w14:paraId="4831149A" w14:textId="77777777" w:rsidR="00701071" w:rsidRPr="00701071" w:rsidRDefault="00701071" w:rsidP="00701071">
            <w:pPr>
              <w:pStyle w:val="ESVTablebody"/>
              <w:rPr>
                <w:b/>
                <w:lang w:eastAsia="en-AU"/>
              </w:rPr>
            </w:pPr>
          </w:p>
        </w:tc>
        <w:tc>
          <w:tcPr>
            <w:tcW w:w="441" w:type="pct"/>
            <w:tcBorders>
              <w:top w:val="single" w:sz="4" w:space="0" w:color="auto"/>
              <w:left w:val="nil"/>
              <w:bottom w:val="single" w:sz="4" w:space="0" w:color="auto"/>
              <w:right w:val="nil"/>
            </w:tcBorders>
            <w:shd w:val="clear" w:color="auto" w:fill="auto"/>
            <w:noWrap/>
            <w:vAlign w:val="bottom"/>
            <w:hideMark/>
          </w:tcPr>
          <w:p w14:paraId="1DF02AE5" w14:textId="77777777" w:rsidR="00701071" w:rsidRPr="00701071" w:rsidRDefault="00701071" w:rsidP="00701071">
            <w:pPr>
              <w:pStyle w:val="ESVTablebody"/>
              <w:rPr>
                <w:b/>
                <w:lang w:eastAsia="en-AU"/>
              </w:rPr>
            </w:pPr>
            <w:r w:rsidRPr="00701071">
              <w:rPr>
                <w:b/>
                <w:lang w:eastAsia="en-AU"/>
              </w:rPr>
              <w:t>30</w:t>
            </w:r>
          </w:p>
        </w:tc>
        <w:tc>
          <w:tcPr>
            <w:tcW w:w="1177" w:type="pct"/>
            <w:tcBorders>
              <w:top w:val="single" w:sz="4" w:space="0" w:color="auto"/>
              <w:left w:val="nil"/>
              <w:bottom w:val="single" w:sz="4" w:space="0" w:color="auto"/>
              <w:right w:val="nil"/>
            </w:tcBorders>
            <w:shd w:val="clear" w:color="000000" w:fill="C6EFCE"/>
            <w:noWrap/>
            <w:vAlign w:val="bottom"/>
            <w:hideMark/>
          </w:tcPr>
          <w:p w14:paraId="21AA4997" w14:textId="77777777" w:rsidR="00701071" w:rsidRPr="00701071" w:rsidRDefault="00701071" w:rsidP="00701071">
            <w:pPr>
              <w:pStyle w:val="ESVTablebody"/>
              <w:rPr>
                <w:b/>
                <w:color w:val="006100"/>
                <w:lang w:eastAsia="en-AU"/>
              </w:rPr>
            </w:pPr>
            <w:r w:rsidRPr="00701071">
              <w:rPr>
                <w:b/>
                <w:color w:val="006100"/>
                <w:lang w:eastAsia="en-AU"/>
              </w:rPr>
              <w:t>30</w:t>
            </w:r>
          </w:p>
        </w:tc>
        <w:tc>
          <w:tcPr>
            <w:tcW w:w="1249" w:type="pct"/>
            <w:tcBorders>
              <w:top w:val="single" w:sz="4" w:space="0" w:color="auto"/>
              <w:left w:val="nil"/>
              <w:bottom w:val="single" w:sz="4" w:space="0" w:color="auto"/>
              <w:right w:val="nil"/>
            </w:tcBorders>
            <w:shd w:val="clear" w:color="000000" w:fill="C6EFCE"/>
            <w:noWrap/>
            <w:vAlign w:val="bottom"/>
            <w:hideMark/>
          </w:tcPr>
          <w:p w14:paraId="1CD5FAC0" w14:textId="77777777" w:rsidR="00701071" w:rsidRPr="00701071" w:rsidRDefault="00701071" w:rsidP="00701071">
            <w:pPr>
              <w:pStyle w:val="ESVTablebody"/>
              <w:rPr>
                <w:b/>
                <w:color w:val="006100"/>
                <w:lang w:eastAsia="en-AU"/>
              </w:rPr>
            </w:pPr>
            <w:r w:rsidRPr="00701071">
              <w:rPr>
                <w:b/>
                <w:color w:val="006100"/>
                <w:lang w:eastAsia="en-AU"/>
              </w:rPr>
              <w:t>30</w:t>
            </w:r>
          </w:p>
        </w:tc>
      </w:tr>
      <w:tr w:rsidR="00701071" w:rsidRPr="00701071" w14:paraId="4B4D84B6" w14:textId="77777777" w:rsidTr="00660470">
        <w:trPr>
          <w:trHeight w:val="300"/>
        </w:trPr>
        <w:tc>
          <w:tcPr>
            <w:tcW w:w="1177" w:type="pct"/>
            <w:tcBorders>
              <w:top w:val="nil"/>
              <w:left w:val="nil"/>
              <w:bottom w:val="nil"/>
              <w:right w:val="nil"/>
            </w:tcBorders>
            <w:shd w:val="clear" w:color="auto" w:fill="auto"/>
            <w:noWrap/>
            <w:vAlign w:val="bottom"/>
            <w:hideMark/>
          </w:tcPr>
          <w:p w14:paraId="49476CD9" w14:textId="77777777" w:rsidR="00701071" w:rsidRPr="00701071" w:rsidRDefault="00701071" w:rsidP="00701071">
            <w:pPr>
              <w:pStyle w:val="ESVTablebody"/>
              <w:rPr>
                <w:lang w:eastAsia="en-AU"/>
              </w:rPr>
            </w:pPr>
            <w:r w:rsidRPr="00701071">
              <w:rPr>
                <w:lang w:eastAsia="en-AU"/>
              </w:rPr>
              <w:t>Ararat</w:t>
            </w:r>
          </w:p>
        </w:tc>
        <w:tc>
          <w:tcPr>
            <w:tcW w:w="441" w:type="pct"/>
            <w:tcBorders>
              <w:top w:val="nil"/>
              <w:left w:val="nil"/>
              <w:bottom w:val="nil"/>
              <w:right w:val="nil"/>
            </w:tcBorders>
            <w:shd w:val="clear" w:color="auto" w:fill="auto"/>
            <w:noWrap/>
            <w:vAlign w:val="bottom"/>
            <w:hideMark/>
          </w:tcPr>
          <w:p w14:paraId="54279CB1" w14:textId="77777777" w:rsidR="00701071" w:rsidRPr="00701071" w:rsidRDefault="00701071" w:rsidP="00701071">
            <w:pPr>
              <w:pStyle w:val="ESVTablebody"/>
              <w:rPr>
                <w:lang w:eastAsia="en-AU"/>
              </w:rPr>
            </w:pPr>
            <w:r w:rsidRPr="00701071">
              <w:rPr>
                <w:lang w:eastAsia="en-AU"/>
              </w:rPr>
              <w:t>ART</w:t>
            </w:r>
          </w:p>
        </w:tc>
        <w:tc>
          <w:tcPr>
            <w:tcW w:w="515" w:type="pct"/>
            <w:tcBorders>
              <w:top w:val="nil"/>
              <w:left w:val="nil"/>
              <w:bottom w:val="nil"/>
              <w:right w:val="nil"/>
            </w:tcBorders>
            <w:shd w:val="clear" w:color="auto" w:fill="auto"/>
            <w:noWrap/>
            <w:vAlign w:val="bottom"/>
            <w:hideMark/>
          </w:tcPr>
          <w:p w14:paraId="0EB326AB" w14:textId="77777777" w:rsidR="00701071" w:rsidRPr="00701071" w:rsidRDefault="00701071" w:rsidP="00701071">
            <w:pPr>
              <w:pStyle w:val="ESVTablebody"/>
              <w:rPr>
                <w:lang w:eastAsia="en-AU"/>
              </w:rPr>
            </w:pPr>
            <w:r w:rsidRPr="00701071">
              <w:rPr>
                <w:lang w:eastAsia="en-AU"/>
              </w:rPr>
              <w:t>2</w:t>
            </w:r>
          </w:p>
        </w:tc>
        <w:tc>
          <w:tcPr>
            <w:tcW w:w="441" w:type="pct"/>
            <w:tcBorders>
              <w:top w:val="nil"/>
              <w:left w:val="nil"/>
              <w:bottom w:val="nil"/>
              <w:right w:val="nil"/>
            </w:tcBorders>
            <w:shd w:val="clear" w:color="auto" w:fill="auto"/>
            <w:noWrap/>
            <w:vAlign w:val="bottom"/>
            <w:hideMark/>
          </w:tcPr>
          <w:p w14:paraId="09DF24F9" w14:textId="77777777" w:rsidR="00701071" w:rsidRPr="00701071" w:rsidRDefault="00701071" w:rsidP="00701071">
            <w:pPr>
              <w:pStyle w:val="ESVTablebody"/>
              <w:rPr>
                <w:lang w:eastAsia="en-AU"/>
              </w:rPr>
            </w:pPr>
            <w:r w:rsidRPr="00701071">
              <w:rPr>
                <w:lang w:eastAsia="en-AU"/>
              </w:rPr>
              <w:t>1</w:t>
            </w:r>
          </w:p>
        </w:tc>
        <w:tc>
          <w:tcPr>
            <w:tcW w:w="1177" w:type="pct"/>
            <w:tcBorders>
              <w:top w:val="nil"/>
              <w:left w:val="nil"/>
              <w:bottom w:val="nil"/>
              <w:right w:val="nil"/>
            </w:tcBorders>
            <w:shd w:val="clear" w:color="000000" w:fill="C6EFCE"/>
            <w:noWrap/>
            <w:vAlign w:val="bottom"/>
            <w:hideMark/>
          </w:tcPr>
          <w:p w14:paraId="509A166F"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425B8015"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4F189E04" w14:textId="77777777" w:rsidTr="00660470">
        <w:trPr>
          <w:trHeight w:val="300"/>
        </w:trPr>
        <w:tc>
          <w:tcPr>
            <w:tcW w:w="1177" w:type="pct"/>
            <w:tcBorders>
              <w:top w:val="nil"/>
              <w:left w:val="nil"/>
              <w:bottom w:val="nil"/>
              <w:right w:val="nil"/>
            </w:tcBorders>
            <w:shd w:val="clear" w:color="auto" w:fill="auto"/>
            <w:noWrap/>
            <w:vAlign w:val="bottom"/>
            <w:hideMark/>
          </w:tcPr>
          <w:p w14:paraId="77E92736" w14:textId="77777777" w:rsidR="00701071" w:rsidRPr="00701071" w:rsidRDefault="00701071" w:rsidP="00701071">
            <w:pPr>
              <w:pStyle w:val="ESVTablebody"/>
              <w:rPr>
                <w:lang w:eastAsia="en-AU"/>
              </w:rPr>
            </w:pPr>
            <w:r w:rsidRPr="00701071">
              <w:rPr>
                <w:lang w:eastAsia="en-AU"/>
              </w:rPr>
              <w:t>Ballarat North</w:t>
            </w:r>
          </w:p>
        </w:tc>
        <w:tc>
          <w:tcPr>
            <w:tcW w:w="441" w:type="pct"/>
            <w:tcBorders>
              <w:top w:val="nil"/>
              <w:left w:val="nil"/>
              <w:bottom w:val="nil"/>
              <w:right w:val="nil"/>
            </w:tcBorders>
            <w:shd w:val="clear" w:color="auto" w:fill="auto"/>
            <w:noWrap/>
            <w:vAlign w:val="bottom"/>
            <w:hideMark/>
          </w:tcPr>
          <w:p w14:paraId="46922E70" w14:textId="77777777" w:rsidR="00701071" w:rsidRPr="00701071" w:rsidRDefault="00701071" w:rsidP="00701071">
            <w:pPr>
              <w:pStyle w:val="ESVTablebody"/>
              <w:rPr>
                <w:lang w:eastAsia="en-AU"/>
              </w:rPr>
            </w:pPr>
            <w:r w:rsidRPr="00701071">
              <w:rPr>
                <w:lang w:eastAsia="en-AU"/>
              </w:rPr>
              <w:t>BAN</w:t>
            </w:r>
          </w:p>
        </w:tc>
        <w:tc>
          <w:tcPr>
            <w:tcW w:w="515" w:type="pct"/>
            <w:tcBorders>
              <w:top w:val="nil"/>
              <w:left w:val="nil"/>
              <w:bottom w:val="nil"/>
              <w:right w:val="nil"/>
            </w:tcBorders>
            <w:shd w:val="clear" w:color="auto" w:fill="auto"/>
            <w:noWrap/>
            <w:vAlign w:val="bottom"/>
            <w:hideMark/>
          </w:tcPr>
          <w:p w14:paraId="710C6736" w14:textId="77777777" w:rsidR="00701071" w:rsidRPr="00701071" w:rsidRDefault="00701071" w:rsidP="00701071">
            <w:pPr>
              <w:pStyle w:val="ESVTablebody"/>
              <w:rPr>
                <w:lang w:eastAsia="en-AU"/>
              </w:rPr>
            </w:pPr>
            <w:r w:rsidRPr="00701071">
              <w:rPr>
                <w:lang w:eastAsia="en-AU"/>
              </w:rPr>
              <w:t>2</w:t>
            </w:r>
          </w:p>
        </w:tc>
        <w:tc>
          <w:tcPr>
            <w:tcW w:w="441" w:type="pct"/>
            <w:tcBorders>
              <w:top w:val="nil"/>
              <w:left w:val="nil"/>
              <w:bottom w:val="nil"/>
              <w:right w:val="nil"/>
            </w:tcBorders>
            <w:shd w:val="clear" w:color="auto" w:fill="auto"/>
            <w:noWrap/>
            <w:vAlign w:val="bottom"/>
            <w:hideMark/>
          </w:tcPr>
          <w:p w14:paraId="03E06B5F" w14:textId="77777777" w:rsidR="00701071" w:rsidRPr="00701071" w:rsidRDefault="00701071" w:rsidP="00701071">
            <w:pPr>
              <w:pStyle w:val="ESVTablebody"/>
              <w:rPr>
                <w:lang w:eastAsia="en-AU"/>
              </w:rPr>
            </w:pPr>
            <w:r w:rsidRPr="00701071">
              <w:rPr>
                <w:lang w:eastAsia="en-AU"/>
              </w:rPr>
              <w:t>4</w:t>
            </w:r>
          </w:p>
        </w:tc>
        <w:tc>
          <w:tcPr>
            <w:tcW w:w="1177" w:type="pct"/>
            <w:tcBorders>
              <w:top w:val="nil"/>
              <w:left w:val="nil"/>
              <w:bottom w:val="nil"/>
              <w:right w:val="nil"/>
            </w:tcBorders>
            <w:shd w:val="clear" w:color="000000" w:fill="C6EFCE"/>
            <w:noWrap/>
            <w:vAlign w:val="bottom"/>
            <w:hideMark/>
          </w:tcPr>
          <w:p w14:paraId="5383CC97"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024C95B9"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146CD9E3" w14:textId="77777777" w:rsidTr="00660470">
        <w:trPr>
          <w:trHeight w:val="300"/>
        </w:trPr>
        <w:tc>
          <w:tcPr>
            <w:tcW w:w="1177" w:type="pct"/>
            <w:tcBorders>
              <w:top w:val="nil"/>
              <w:left w:val="nil"/>
              <w:bottom w:val="nil"/>
              <w:right w:val="nil"/>
            </w:tcBorders>
            <w:shd w:val="clear" w:color="auto" w:fill="auto"/>
            <w:noWrap/>
            <w:vAlign w:val="bottom"/>
            <w:hideMark/>
          </w:tcPr>
          <w:p w14:paraId="7E72E80D" w14:textId="77777777" w:rsidR="00701071" w:rsidRPr="00701071" w:rsidRDefault="00701071" w:rsidP="00701071">
            <w:pPr>
              <w:pStyle w:val="ESVTablebody"/>
              <w:rPr>
                <w:lang w:eastAsia="en-AU"/>
              </w:rPr>
            </w:pPr>
            <w:r w:rsidRPr="00701071">
              <w:rPr>
                <w:lang w:eastAsia="en-AU"/>
              </w:rPr>
              <w:t>Ballarat South</w:t>
            </w:r>
          </w:p>
        </w:tc>
        <w:tc>
          <w:tcPr>
            <w:tcW w:w="441" w:type="pct"/>
            <w:tcBorders>
              <w:top w:val="nil"/>
              <w:left w:val="nil"/>
              <w:bottom w:val="nil"/>
              <w:right w:val="nil"/>
            </w:tcBorders>
            <w:shd w:val="clear" w:color="auto" w:fill="auto"/>
            <w:noWrap/>
            <w:vAlign w:val="bottom"/>
            <w:hideMark/>
          </w:tcPr>
          <w:p w14:paraId="193D4172" w14:textId="77777777" w:rsidR="00701071" w:rsidRPr="00701071" w:rsidRDefault="00701071" w:rsidP="00701071">
            <w:pPr>
              <w:pStyle w:val="ESVTablebody"/>
              <w:rPr>
                <w:lang w:eastAsia="en-AU"/>
              </w:rPr>
            </w:pPr>
            <w:r w:rsidRPr="00701071">
              <w:rPr>
                <w:lang w:eastAsia="en-AU"/>
              </w:rPr>
              <w:t>BAS</w:t>
            </w:r>
          </w:p>
        </w:tc>
        <w:tc>
          <w:tcPr>
            <w:tcW w:w="515" w:type="pct"/>
            <w:tcBorders>
              <w:top w:val="nil"/>
              <w:left w:val="nil"/>
              <w:bottom w:val="nil"/>
              <w:right w:val="nil"/>
            </w:tcBorders>
            <w:shd w:val="clear" w:color="auto" w:fill="auto"/>
            <w:noWrap/>
            <w:vAlign w:val="bottom"/>
            <w:hideMark/>
          </w:tcPr>
          <w:p w14:paraId="5E047CAB" w14:textId="77777777" w:rsidR="00701071" w:rsidRPr="00701071" w:rsidRDefault="00701071" w:rsidP="00701071">
            <w:pPr>
              <w:pStyle w:val="ESVTablebody"/>
              <w:rPr>
                <w:lang w:eastAsia="en-AU"/>
              </w:rPr>
            </w:pPr>
            <w:r w:rsidRPr="00701071">
              <w:rPr>
                <w:lang w:eastAsia="en-AU"/>
              </w:rPr>
              <w:t>2</w:t>
            </w:r>
          </w:p>
        </w:tc>
        <w:tc>
          <w:tcPr>
            <w:tcW w:w="441" w:type="pct"/>
            <w:tcBorders>
              <w:top w:val="nil"/>
              <w:left w:val="nil"/>
              <w:bottom w:val="nil"/>
              <w:right w:val="nil"/>
            </w:tcBorders>
            <w:shd w:val="clear" w:color="auto" w:fill="auto"/>
            <w:noWrap/>
            <w:vAlign w:val="bottom"/>
            <w:hideMark/>
          </w:tcPr>
          <w:p w14:paraId="6D2F862F" w14:textId="77777777" w:rsidR="00701071" w:rsidRPr="00701071" w:rsidRDefault="00701071" w:rsidP="00701071">
            <w:pPr>
              <w:pStyle w:val="ESVTablebody"/>
              <w:rPr>
                <w:lang w:eastAsia="en-AU"/>
              </w:rPr>
            </w:pPr>
            <w:r w:rsidRPr="00701071">
              <w:rPr>
                <w:lang w:eastAsia="en-AU"/>
              </w:rPr>
              <w:t>5</w:t>
            </w:r>
          </w:p>
        </w:tc>
        <w:tc>
          <w:tcPr>
            <w:tcW w:w="1177" w:type="pct"/>
            <w:tcBorders>
              <w:top w:val="nil"/>
              <w:left w:val="nil"/>
              <w:bottom w:val="nil"/>
              <w:right w:val="nil"/>
            </w:tcBorders>
            <w:shd w:val="clear" w:color="000000" w:fill="C6EFCE"/>
            <w:noWrap/>
            <w:vAlign w:val="bottom"/>
            <w:hideMark/>
          </w:tcPr>
          <w:p w14:paraId="533B9FA6"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316896C5"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3350AF8D" w14:textId="77777777" w:rsidTr="00660470">
        <w:trPr>
          <w:trHeight w:val="300"/>
        </w:trPr>
        <w:tc>
          <w:tcPr>
            <w:tcW w:w="1177" w:type="pct"/>
            <w:tcBorders>
              <w:top w:val="nil"/>
              <w:left w:val="nil"/>
              <w:bottom w:val="nil"/>
              <w:right w:val="nil"/>
            </w:tcBorders>
            <w:shd w:val="clear" w:color="auto" w:fill="auto"/>
            <w:noWrap/>
            <w:vAlign w:val="bottom"/>
            <w:hideMark/>
          </w:tcPr>
          <w:p w14:paraId="2EEF9688" w14:textId="77777777" w:rsidR="00701071" w:rsidRPr="00701071" w:rsidRDefault="00701071" w:rsidP="00701071">
            <w:pPr>
              <w:pStyle w:val="ESVTablebody"/>
              <w:rPr>
                <w:lang w:eastAsia="en-AU"/>
              </w:rPr>
            </w:pPr>
            <w:r w:rsidRPr="00701071">
              <w:rPr>
                <w:lang w:eastAsia="en-AU"/>
              </w:rPr>
              <w:t>Bendigo</w:t>
            </w:r>
          </w:p>
        </w:tc>
        <w:tc>
          <w:tcPr>
            <w:tcW w:w="441" w:type="pct"/>
            <w:tcBorders>
              <w:top w:val="nil"/>
              <w:left w:val="nil"/>
              <w:bottom w:val="nil"/>
              <w:right w:val="nil"/>
            </w:tcBorders>
            <w:shd w:val="clear" w:color="auto" w:fill="auto"/>
            <w:noWrap/>
            <w:vAlign w:val="bottom"/>
            <w:hideMark/>
          </w:tcPr>
          <w:p w14:paraId="386EBAAB" w14:textId="77777777" w:rsidR="00701071" w:rsidRPr="00701071" w:rsidRDefault="00701071" w:rsidP="00701071">
            <w:pPr>
              <w:pStyle w:val="ESVTablebody"/>
              <w:rPr>
                <w:lang w:eastAsia="en-AU"/>
              </w:rPr>
            </w:pPr>
            <w:r w:rsidRPr="00701071">
              <w:rPr>
                <w:lang w:eastAsia="en-AU"/>
              </w:rPr>
              <w:t>BGO</w:t>
            </w:r>
          </w:p>
        </w:tc>
        <w:tc>
          <w:tcPr>
            <w:tcW w:w="515" w:type="pct"/>
            <w:tcBorders>
              <w:top w:val="nil"/>
              <w:left w:val="nil"/>
              <w:bottom w:val="nil"/>
              <w:right w:val="nil"/>
            </w:tcBorders>
            <w:shd w:val="clear" w:color="auto" w:fill="auto"/>
            <w:noWrap/>
            <w:vAlign w:val="bottom"/>
            <w:hideMark/>
          </w:tcPr>
          <w:p w14:paraId="0AFC151B" w14:textId="77777777" w:rsidR="00701071" w:rsidRPr="00701071" w:rsidRDefault="00701071" w:rsidP="00701071">
            <w:pPr>
              <w:pStyle w:val="ESVTablebody"/>
              <w:rPr>
                <w:lang w:eastAsia="en-AU"/>
              </w:rPr>
            </w:pPr>
            <w:r w:rsidRPr="00701071">
              <w:rPr>
                <w:lang w:eastAsia="en-AU"/>
              </w:rPr>
              <w:t>2</w:t>
            </w:r>
          </w:p>
        </w:tc>
        <w:tc>
          <w:tcPr>
            <w:tcW w:w="441" w:type="pct"/>
            <w:tcBorders>
              <w:top w:val="nil"/>
              <w:left w:val="nil"/>
              <w:bottom w:val="nil"/>
              <w:right w:val="nil"/>
            </w:tcBorders>
            <w:shd w:val="clear" w:color="auto" w:fill="auto"/>
            <w:noWrap/>
            <w:vAlign w:val="bottom"/>
            <w:hideMark/>
          </w:tcPr>
          <w:p w14:paraId="03C25E44" w14:textId="77777777" w:rsidR="00701071" w:rsidRPr="00701071" w:rsidRDefault="00701071" w:rsidP="00701071">
            <w:pPr>
              <w:pStyle w:val="ESVTablebody"/>
              <w:rPr>
                <w:lang w:eastAsia="en-AU"/>
              </w:rPr>
            </w:pPr>
            <w:r w:rsidRPr="00701071">
              <w:rPr>
                <w:lang w:eastAsia="en-AU"/>
              </w:rPr>
              <w:t>1</w:t>
            </w:r>
          </w:p>
        </w:tc>
        <w:tc>
          <w:tcPr>
            <w:tcW w:w="1177" w:type="pct"/>
            <w:tcBorders>
              <w:top w:val="nil"/>
              <w:left w:val="nil"/>
              <w:bottom w:val="nil"/>
              <w:right w:val="nil"/>
            </w:tcBorders>
            <w:shd w:val="clear" w:color="000000" w:fill="C6EFCE"/>
            <w:noWrap/>
            <w:vAlign w:val="bottom"/>
            <w:hideMark/>
          </w:tcPr>
          <w:p w14:paraId="52A705AF"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6C91E024"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1F10C0F9" w14:textId="77777777" w:rsidTr="00660470">
        <w:trPr>
          <w:trHeight w:val="300"/>
        </w:trPr>
        <w:tc>
          <w:tcPr>
            <w:tcW w:w="1177" w:type="pct"/>
            <w:tcBorders>
              <w:top w:val="nil"/>
              <w:left w:val="nil"/>
              <w:bottom w:val="nil"/>
              <w:right w:val="nil"/>
            </w:tcBorders>
            <w:shd w:val="clear" w:color="auto" w:fill="auto"/>
            <w:noWrap/>
            <w:vAlign w:val="bottom"/>
            <w:hideMark/>
          </w:tcPr>
          <w:p w14:paraId="396B9269" w14:textId="77777777" w:rsidR="00701071" w:rsidRPr="00701071" w:rsidRDefault="00701071" w:rsidP="00701071">
            <w:pPr>
              <w:pStyle w:val="ESVTablebody"/>
              <w:rPr>
                <w:lang w:eastAsia="en-AU"/>
              </w:rPr>
            </w:pPr>
            <w:r w:rsidRPr="00701071">
              <w:rPr>
                <w:lang w:eastAsia="en-AU"/>
              </w:rPr>
              <w:t>Bendigo TS</w:t>
            </w:r>
          </w:p>
        </w:tc>
        <w:tc>
          <w:tcPr>
            <w:tcW w:w="441" w:type="pct"/>
            <w:tcBorders>
              <w:top w:val="nil"/>
              <w:left w:val="nil"/>
              <w:bottom w:val="nil"/>
              <w:right w:val="nil"/>
            </w:tcBorders>
            <w:shd w:val="clear" w:color="auto" w:fill="auto"/>
            <w:noWrap/>
            <w:vAlign w:val="bottom"/>
            <w:hideMark/>
          </w:tcPr>
          <w:p w14:paraId="6EDC85FB" w14:textId="77777777" w:rsidR="00701071" w:rsidRPr="00701071" w:rsidRDefault="00701071" w:rsidP="00701071">
            <w:pPr>
              <w:pStyle w:val="ESVTablebody"/>
              <w:rPr>
                <w:lang w:eastAsia="en-AU"/>
              </w:rPr>
            </w:pPr>
            <w:r w:rsidRPr="00701071">
              <w:rPr>
                <w:lang w:eastAsia="en-AU"/>
              </w:rPr>
              <w:t>BETS</w:t>
            </w:r>
          </w:p>
        </w:tc>
        <w:tc>
          <w:tcPr>
            <w:tcW w:w="515" w:type="pct"/>
            <w:tcBorders>
              <w:top w:val="nil"/>
              <w:left w:val="nil"/>
              <w:bottom w:val="nil"/>
              <w:right w:val="nil"/>
            </w:tcBorders>
            <w:shd w:val="clear" w:color="auto" w:fill="auto"/>
            <w:noWrap/>
            <w:vAlign w:val="bottom"/>
            <w:hideMark/>
          </w:tcPr>
          <w:p w14:paraId="1D0CE519" w14:textId="77777777" w:rsidR="00701071" w:rsidRPr="00701071" w:rsidRDefault="00701071" w:rsidP="00701071">
            <w:pPr>
              <w:pStyle w:val="ESVTablebody"/>
              <w:rPr>
                <w:lang w:eastAsia="en-AU"/>
              </w:rPr>
            </w:pPr>
            <w:r w:rsidRPr="00701071">
              <w:rPr>
                <w:lang w:eastAsia="en-AU"/>
              </w:rPr>
              <w:t>2</w:t>
            </w:r>
          </w:p>
        </w:tc>
        <w:tc>
          <w:tcPr>
            <w:tcW w:w="441" w:type="pct"/>
            <w:tcBorders>
              <w:top w:val="nil"/>
              <w:left w:val="nil"/>
              <w:bottom w:val="nil"/>
              <w:right w:val="nil"/>
            </w:tcBorders>
            <w:shd w:val="clear" w:color="auto" w:fill="auto"/>
            <w:noWrap/>
            <w:vAlign w:val="bottom"/>
            <w:hideMark/>
          </w:tcPr>
          <w:p w14:paraId="12BDADC0" w14:textId="77777777" w:rsidR="00701071" w:rsidRPr="00701071" w:rsidRDefault="00701071" w:rsidP="00701071">
            <w:pPr>
              <w:pStyle w:val="ESVTablebody"/>
              <w:rPr>
                <w:lang w:eastAsia="en-AU"/>
              </w:rPr>
            </w:pPr>
            <w:r w:rsidRPr="00701071">
              <w:rPr>
                <w:lang w:eastAsia="en-AU"/>
              </w:rPr>
              <w:t>5</w:t>
            </w:r>
          </w:p>
        </w:tc>
        <w:tc>
          <w:tcPr>
            <w:tcW w:w="1177" w:type="pct"/>
            <w:tcBorders>
              <w:top w:val="nil"/>
              <w:left w:val="nil"/>
              <w:bottom w:val="nil"/>
              <w:right w:val="nil"/>
            </w:tcBorders>
            <w:shd w:val="clear" w:color="000000" w:fill="C6EFCE"/>
            <w:noWrap/>
            <w:vAlign w:val="bottom"/>
            <w:hideMark/>
          </w:tcPr>
          <w:p w14:paraId="11BF6509"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7693CC47"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3B27B687" w14:textId="77777777" w:rsidTr="00660470">
        <w:trPr>
          <w:trHeight w:val="300"/>
        </w:trPr>
        <w:tc>
          <w:tcPr>
            <w:tcW w:w="1177" w:type="pct"/>
            <w:tcBorders>
              <w:top w:val="nil"/>
              <w:left w:val="nil"/>
              <w:bottom w:val="nil"/>
              <w:right w:val="nil"/>
            </w:tcBorders>
            <w:shd w:val="clear" w:color="auto" w:fill="auto"/>
            <w:noWrap/>
            <w:vAlign w:val="bottom"/>
            <w:hideMark/>
          </w:tcPr>
          <w:p w14:paraId="60C7C9A0" w14:textId="77777777" w:rsidR="00701071" w:rsidRPr="00701071" w:rsidRDefault="00701071" w:rsidP="00701071">
            <w:pPr>
              <w:pStyle w:val="ESVTablebody"/>
              <w:rPr>
                <w:lang w:eastAsia="en-AU"/>
              </w:rPr>
            </w:pPr>
            <w:r w:rsidRPr="00701071">
              <w:rPr>
                <w:lang w:eastAsia="en-AU"/>
              </w:rPr>
              <w:t>Charlton</w:t>
            </w:r>
          </w:p>
        </w:tc>
        <w:tc>
          <w:tcPr>
            <w:tcW w:w="441" w:type="pct"/>
            <w:tcBorders>
              <w:top w:val="nil"/>
              <w:left w:val="nil"/>
              <w:bottom w:val="nil"/>
              <w:right w:val="nil"/>
            </w:tcBorders>
            <w:shd w:val="clear" w:color="auto" w:fill="auto"/>
            <w:noWrap/>
            <w:vAlign w:val="bottom"/>
            <w:hideMark/>
          </w:tcPr>
          <w:p w14:paraId="6B8EEFAA" w14:textId="77777777" w:rsidR="00701071" w:rsidRPr="00701071" w:rsidRDefault="00701071" w:rsidP="00701071">
            <w:pPr>
              <w:pStyle w:val="ESVTablebody"/>
              <w:rPr>
                <w:lang w:eastAsia="en-AU"/>
              </w:rPr>
            </w:pPr>
            <w:r w:rsidRPr="00701071">
              <w:rPr>
                <w:lang w:eastAsia="en-AU"/>
              </w:rPr>
              <w:t>CTN</w:t>
            </w:r>
          </w:p>
        </w:tc>
        <w:tc>
          <w:tcPr>
            <w:tcW w:w="515" w:type="pct"/>
            <w:tcBorders>
              <w:top w:val="nil"/>
              <w:left w:val="nil"/>
              <w:bottom w:val="nil"/>
              <w:right w:val="nil"/>
            </w:tcBorders>
            <w:shd w:val="clear" w:color="auto" w:fill="auto"/>
            <w:noWrap/>
            <w:vAlign w:val="bottom"/>
            <w:hideMark/>
          </w:tcPr>
          <w:p w14:paraId="658D4637" w14:textId="77777777" w:rsidR="00701071" w:rsidRPr="00701071" w:rsidRDefault="00701071" w:rsidP="00701071">
            <w:pPr>
              <w:pStyle w:val="ESVTablebody"/>
              <w:rPr>
                <w:lang w:eastAsia="en-AU"/>
              </w:rPr>
            </w:pPr>
            <w:r w:rsidRPr="00701071">
              <w:rPr>
                <w:lang w:eastAsia="en-AU"/>
              </w:rPr>
              <w:t>2</w:t>
            </w:r>
          </w:p>
        </w:tc>
        <w:tc>
          <w:tcPr>
            <w:tcW w:w="441" w:type="pct"/>
            <w:tcBorders>
              <w:top w:val="nil"/>
              <w:left w:val="nil"/>
              <w:bottom w:val="nil"/>
              <w:right w:val="nil"/>
            </w:tcBorders>
            <w:shd w:val="clear" w:color="auto" w:fill="auto"/>
            <w:noWrap/>
            <w:vAlign w:val="bottom"/>
            <w:hideMark/>
          </w:tcPr>
          <w:p w14:paraId="77CB96C0" w14:textId="77777777" w:rsidR="00701071" w:rsidRPr="00701071" w:rsidRDefault="00701071" w:rsidP="00701071">
            <w:pPr>
              <w:pStyle w:val="ESVTablebody"/>
              <w:rPr>
                <w:lang w:eastAsia="en-AU"/>
              </w:rPr>
            </w:pPr>
            <w:r w:rsidRPr="00701071">
              <w:rPr>
                <w:lang w:eastAsia="en-AU"/>
              </w:rPr>
              <w:t>2</w:t>
            </w:r>
          </w:p>
        </w:tc>
        <w:tc>
          <w:tcPr>
            <w:tcW w:w="1177" w:type="pct"/>
            <w:tcBorders>
              <w:top w:val="nil"/>
              <w:left w:val="nil"/>
              <w:bottom w:val="nil"/>
              <w:right w:val="nil"/>
            </w:tcBorders>
            <w:shd w:val="clear" w:color="000000" w:fill="C6EFCE"/>
            <w:noWrap/>
            <w:vAlign w:val="bottom"/>
            <w:hideMark/>
          </w:tcPr>
          <w:p w14:paraId="58633DBB"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7244240B"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63DF969B" w14:textId="77777777" w:rsidTr="00660470">
        <w:trPr>
          <w:trHeight w:val="300"/>
        </w:trPr>
        <w:tc>
          <w:tcPr>
            <w:tcW w:w="1177" w:type="pct"/>
            <w:tcBorders>
              <w:top w:val="nil"/>
              <w:left w:val="nil"/>
              <w:bottom w:val="nil"/>
              <w:right w:val="nil"/>
            </w:tcBorders>
            <w:shd w:val="clear" w:color="auto" w:fill="auto"/>
            <w:noWrap/>
            <w:vAlign w:val="bottom"/>
            <w:hideMark/>
          </w:tcPr>
          <w:p w14:paraId="7D922EAF" w14:textId="77777777" w:rsidR="00701071" w:rsidRPr="00701071" w:rsidRDefault="00701071" w:rsidP="00701071">
            <w:pPr>
              <w:pStyle w:val="ESVTablebody"/>
              <w:rPr>
                <w:lang w:eastAsia="en-AU"/>
              </w:rPr>
            </w:pPr>
            <w:r w:rsidRPr="00701071">
              <w:rPr>
                <w:lang w:eastAsia="en-AU"/>
              </w:rPr>
              <w:t>Colac</w:t>
            </w:r>
          </w:p>
        </w:tc>
        <w:tc>
          <w:tcPr>
            <w:tcW w:w="441" w:type="pct"/>
            <w:tcBorders>
              <w:top w:val="nil"/>
              <w:left w:val="nil"/>
              <w:bottom w:val="nil"/>
              <w:right w:val="nil"/>
            </w:tcBorders>
            <w:shd w:val="clear" w:color="auto" w:fill="auto"/>
            <w:noWrap/>
            <w:vAlign w:val="bottom"/>
            <w:hideMark/>
          </w:tcPr>
          <w:p w14:paraId="6C15E103" w14:textId="77777777" w:rsidR="00701071" w:rsidRPr="00701071" w:rsidRDefault="00701071" w:rsidP="00701071">
            <w:pPr>
              <w:pStyle w:val="ESVTablebody"/>
              <w:rPr>
                <w:lang w:eastAsia="en-AU"/>
              </w:rPr>
            </w:pPr>
            <w:r w:rsidRPr="00701071">
              <w:rPr>
                <w:lang w:eastAsia="en-AU"/>
              </w:rPr>
              <w:t>CLC</w:t>
            </w:r>
          </w:p>
        </w:tc>
        <w:tc>
          <w:tcPr>
            <w:tcW w:w="515" w:type="pct"/>
            <w:tcBorders>
              <w:top w:val="nil"/>
              <w:left w:val="nil"/>
              <w:bottom w:val="nil"/>
              <w:right w:val="nil"/>
            </w:tcBorders>
            <w:shd w:val="clear" w:color="auto" w:fill="auto"/>
            <w:noWrap/>
            <w:vAlign w:val="bottom"/>
            <w:hideMark/>
          </w:tcPr>
          <w:p w14:paraId="1E663098" w14:textId="77777777" w:rsidR="00701071" w:rsidRPr="00701071" w:rsidRDefault="00701071" w:rsidP="00701071">
            <w:pPr>
              <w:pStyle w:val="ESVTablebody"/>
              <w:rPr>
                <w:lang w:eastAsia="en-AU"/>
              </w:rPr>
            </w:pPr>
            <w:r w:rsidRPr="00701071">
              <w:rPr>
                <w:lang w:eastAsia="en-AU"/>
              </w:rPr>
              <w:t>2</w:t>
            </w:r>
          </w:p>
        </w:tc>
        <w:tc>
          <w:tcPr>
            <w:tcW w:w="441" w:type="pct"/>
            <w:tcBorders>
              <w:top w:val="nil"/>
              <w:left w:val="nil"/>
              <w:bottom w:val="nil"/>
              <w:right w:val="nil"/>
            </w:tcBorders>
            <w:shd w:val="clear" w:color="auto" w:fill="auto"/>
            <w:noWrap/>
            <w:vAlign w:val="bottom"/>
            <w:hideMark/>
          </w:tcPr>
          <w:p w14:paraId="5162FE7A" w14:textId="77777777" w:rsidR="00701071" w:rsidRPr="00701071" w:rsidRDefault="00701071" w:rsidP="00701071">
            <w:pPr>
              <w:pStyle w:val="ESVTablebody"/>
              <w:rPr>
                <w:lang w:eastAsia="en-AU"/>
              </w:rPr>
            </w:pPr>
            <w:r w:rsidRPr="00701071">
              <w:rPr>
                <w:lang w:eastAsia="en-AU"/>
              </w:rPr>
              <w:t>5</w:t>
            </w:r>
          </w:p>
        </w:tc>
        <w:tc>
          <w:tcPr>
            <w:tcW w:w="1177" w:type="pct"/>
            <w:tcBorders>
              <w:top w:val="nil"/>
              <w:left w:val="nil"/>
              <w:bottom w:val="nil"/>
              <w:right w:val="nil"/>
            </w:tcBorders>
            <w:shd w:val="clear" w:color="000000" w:fill="C6EFCE"/>
            <w:noWrap/>
            <w:vAlign w:val="bottom"/>
            <w:hideMark/>
          </w:tcPr>
          <w:p w14:paraId="5DC95E31"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112F6FC5"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27A04D78" w14:textId="77777777" w:rsidTr="00660470">
        <w:trPr>
          <w:trHeight w:val="300"/>
        </w:trPr>
        <w:tc>
          <w:tcPr>
            <w:tcW w:w="1177" w:type="pct"/>
            <w:tcBorders>
              <w:top w:val="nil"/>
              <w:left w:val="nil"/>
              <w:bottom w:val="nil"/>
              <w:right w:val="nil"/>
            </w:tcBorders>
            <w:shd w:val="clear" w:color="auto" w:fill="auto"/>
            <w:noWrap/>
            <w:vAlign w:val="bottom"/>
            <w:hideMark/>
          </w:tcPr>
          <w:p w14:paraId="13A1A170" w14:textId="77777777" w:rsidR="00701071" w:rsidRPr="00701071" w:rsidRDefault="00701071" w:rsidP="00701071">
            <w:pPr>
              <w:pStyle w:val="ESVTablebody"/>
              <w:rPr>
                <w:lang w:eastAsia="en-AU"/>
              </w:rPr>
            </w:pPr>
            <w:r w:rsidRPr="00701071">
              <w:rPr>
                <w:lang w:eastAsia="en-AU"/>
              </w:rPr>
              <w:t>Koroit</w:t>
            </w:r>
          </w:p>
        </w:tc>
        <w:tc>
          <w:tcPr>
            <w:tcW w:w="441" w:type="pct"/>
            <w:tcBorders>
              <w:top w:val="nil"/>
              <w:left w:val="nil"/>
              <w:bottom w:val="nil"/>
              <w:right w:val="nil"/>
            </w:tcBorders>
            <w:shd w:val="clear" w:color="auto" w:fill="auto"/>
            <w:noWrap/>
            <w:vAlign w:val="bottom"/>
            <w:hideMark/>
          </w:tcPr>
          <w:p w14:paraId="3ABAF318" w14:textId="77777777" w:rsidR="00701071" w:rsidRPr="00701071" w:rsidRDefault="00701071" w:rsidP="00701071">
            <w:pPr>
              <w:pStyle w:val="ESVTablebody"/>
              <w:rPr>
                <w:lang w:eastAsia="en-AU"/>
              </w:rPr>
            </w:pPr>
            <w:r w:rsidRPr="00701071">
              <w:rPr>
                <w:lang w:eastAsia="en-AU"/>
              </w:rPr>
              <w:t>KRT</w:t>
            </w:r>
          </w:p>
        </w:tc>
        <w:tc>
          <w:tcPr>
            <w:tcW w:w="515" w:type="pct"/>
            <w:tcBorders>
              <w:top w:val="nil"/>
              <w:left w:val="nil"/>
              <w:bottom w:val="nil"/>
              <w:right w:val="nil"/>
            </w:tcBorders>
            <w:shd w:val="clear" w:color="auto" w:fill="auto"/>
            <w:noWrap/>
            <w:vAlign w:val="bottom"/>
            <w:hideMark/>
          </w:tcPr>
          <w:p w14:paraId="310CBC68" w14:textId="77777777" w:rsidR="00701071" w:rsidRPr="00701071" w:rsidRDefault="00701071" w:rsidP="00701071">
            <w:pPr>
              <w:pStyle w:val="ESVTablebody"/>
              <w:rPr>
                <w:lang w:eastAsia="en-AU"/>
              </w:rPr>
            </w:pPr>
            <w:r w:rsidRPr="00701071">
              <w:rPr>
                <w:lang w:eastAsia="en-AU"/>
              </w:rPr>
              <w:t>2</w:t>
            </w:r>
          </w:p>
        </w:tc>
        <w:tc>
          <w:tcPr>
            <w:tcW w:w="441" w:type="pct"/>
            <w:tcBorders>
              <w:top w:val="nil"/>
              <w:left w:val="nil"/>
              <w:bottom w:val="nil"/>
              <w:right w:val="nil"/>
            </w:tcBorders>
            <w:shd w:val="clear" w:color="auto" w:fill="auto"/>
            <w:noWrap/>
            <w:vAlign w:val="bottom"/>
            <w:hideMark/>
          </w:tcPr>
          <w:p w14:paraId="50A4AFB5" w14:textId="77777777" w:rsidR="00701071" w:rsidRPr="00701071" w:rsidRDefault="00701071" w:rsidP="00701071">
            <w:pPr>
              <w:pStyle w:val="ESVTablebody"/>
              <w:rPr>
                <w:lang w:eastAsia="en-AU"/>
              </w:rPr>
            </w:pPr>
            <w:r w:rsidRPr="00701071">
              <w:rPr>
                <w:lang w:eastAsia="en-AU"/>
              </w:rPr>
              <w:t>2</w:t>
            </w:r>
          </w:p>
        </w:tc>
        <w:tc>
          <w:tcPr>
            <w:tcW w:w="1177" w:type="pct"/>
            <w:tcBorders>
              <w:top w:val="nil"/>
              <w:left w:val="nil"/>
              <w:bottom w:val="nil"/>
              <w:right w:val="nil"/>
            </w:tcBorders>
            <w:shd w:val="clear" w:color="000000" w:fill="C6EFCE"/>
            <w:noWrap/>
            <w:vAlign w:val="bottom"/>
            <w:hideMark/>
          </w:tcPr>
          <w:p w14:paraId="58F588FF" w14:textId="77777777" w:rsidR="00701071" w:rsidRPr="00701071" w:rsidRDefault="00701071" w:rsidP="0070107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000000" w:fill="C6EFCE"/>
            <w:noWrap/>
            <w:vAlign w:val="bottom"/>
            <w:hideMark/>
          </w:tcPr>
          <w:p w14:paraId="5E957B19" w14:textId="77777777" w:rsidR="00701071" w:rsidRPr="00701071" w:rsidRDefault="00701071" w:rsidP="00701071">
            <w:pPr>
              <w:pStyle w:val="ESVTablebody"/>
              <w:rPr>
                <w:color w:val="006100"/>
                <w:lang w:eastAsia="en-AU"/>
              </w:rPr>
            </w:pPr>
            <w:r w:rsidRPr="00701071">
              <w:rPr>
                <w:color w:val="006100"/>
                <w:lang w:eastAsia="en-AU"/>
              </w:rPr>
              <w:t>Yes</w:t>
            </w:r>
          </w:p>
        </w:tc>
      </w:tr>
      <w:tr w:rsidR="00701071" w:rsidRPr="00701071" w14:paraId="23122DA8" w14:textId="77777777" w:rsidTr="00660470">
        <w:trPr>
          <w:trHeight w:val="300"/>
        </w:trPr>
        <w:tc>
          <w:tcPr>
            <w:tcW w:w="1177" w:type="pct"/>
            <w:tcBorders>
              <w:top w:val="single" w:sz="4" w:space="0" w:color="auto"/>
              <w:left w:val="nil"/>
              <w:bottom w:val="single" w:sz="4" w:space="0" w:color="auto"/>
              <w:right w:val="nil"/>
            </w:tcBorders>
            <w:shd w:val="clear" w:color="auto" w:fill="auto"/>
            <w:noWrap/>
            <w:vAlign w:val="bottom"/>
            <w:hideMark/>
          </w:tcPr>
          <w:p w14:paraId="4BC8B0D6" w14:textId="77777777" w:rsidR="00701071" w:rsidRPr="00701071" w:rsidRDefault="00701071" w:rsidP="00701071">
            <w:pPr>
              <w:pStyle w:val="ESVTablebody"/>
              <w:rPr>
                <w:b/>
                <w:lang w:eastAsia="en-AU"/>
              </w:rPr>
            </w:pPr>
            <w:r w:rsidRPr="00701071">
              <w:rPr>
                <w:b/>
                <w:lang w:eastAsia="en-AU"/>
              </w:rPr>
              <w:t>Tranche 2 (1 May 2021)</w:t>
            </w:r>
          </w:p>
        </w:tc>
        <w:tc>
          <w:tcPr>
            <w:tcW w:w="956" w:type="pct"/>
            <w:gridSpan w:val="2"/>
            <w:tcBorders>
              <w:top w:val="single" w:sz="4" w:space="0" w:color="auto"/>
              <w:left w:val="nil"/>
              <w:bottom w:val="single" w:sz="4" w:space="0" w:color="auto"/>
              <w:right w:val="nil"/>
            </w:tcBorders>
            <w:shd w:val="clear" w:color="auto" w:fill="auto"/>
            <w:noWrap/>
            <w:vAlign w:val="bottom"/>
            <w:hideMark/>
          </w:tcPr>
          <w:p w14:paraId="6D34DD14" w14:textId="77777777" w:rsidR="00701071" w:rsidRPr="00701071" w:rsidRDefault="00701071" w:rsidP="00701071">
            <w:pPr>
              <w:pStyle w:val="ESVTablebody"/>
              <w:rPr>
                <w:b/>
                <w:lang w:eastAsia="en-AU"/>
              </w:rPr>
            </w:pPr>
          </w:p>
        </w:tc>
        <w:tc>
          <w:tcPr>
            <w:tcW w:w="441" w:type="pct"/>
            <w:tcBorders>
              <w:top w:val="single" w:sz="4" w:space="0" w:color="auto"/>
              <w:left w:val="nil"/>
              <w:bottom w:val="single" w:sz="4" w:space="0" w:color="auto"/>
              <w:right w:val="nil"/>
            </w:tcBorders>
            <w:shd w:val="clear" w:color="auto" w:fill="auto"/>
            <w:noWrap/>
            <w:vAlign w:val="bottom"/>
            <w:hideMark/>
          </w:tcPr>
          <w:p w14:paraId="20123237" w14:textId="77777777" w:rsidR="00701071" w:rsidRPr="00701071" w:rsidRDefault="00701071" w:rsidP="00701071">
            <w:pPr>
              <w:pStyle w:val="ESVTablebody"/>
              <w:rPr>
                <w:b/>
                <w:lang w:eastAsia="en-AU"/>
              </w:rPr>
            </w:pPr>
            <w:r w:rsidRPr="00701071">
              <w:rPr>
                <w:b/>
                <w:lang w:eastAsia="en-AU"/>
              </w:rPr>
              <w:t>25</w:t>
            </w:r>
          </w:p>
        </w:tc>
        <w:tc>
          <w:tcPr>
            <w:tcW w:w="1177" w:type="pct"/>
            <w:tcBorders>
              <w:top w:val="single" w:sz="4" w:space="0" w:color="auto"/>
              <w:left w:val="nil"/>
              <w:bottom w:val="single" w:sz="4" w:space="0" w:color="auto"/>
              <w:right w:val="nil"/>
            </w:tcBorders>
            <w:shd w:val="clear" w:color="000000" w:fill="C6EFCE"/>
            <w:noWrap/>
            <w:vAlign w:val="bottom"/>
            <w:hideMark/>
          </w:tcPr>
          <w:p w14:paraId="751D3BD3" w14:textId="77777777" w:rsidR="00701071" w:rsidRPr="00701071" w:rsidRDefault="00701071" w:rsidP="00701071">
            <w:pPr>
              <w:pStyle w:val="ESVTablebody"/>
              <w:rPr>
                <w:b/>
                <w:color w:val="006100"/>
                <w:lang w:eastAsia="en-AU"/>
              </w:rPr>
            </w:pPr>
            <w:r w:rsidRPr="00701071">
              <w:rPr>
                <w:b/>
                <w:color w:val="006100"/>
                <w:lang w:eastAsia="en-AU"/>
              </w:rPr>
              <w:t>25</w:t>
            </w:r>
          </w:p>
        </w:tc>
        <w:tc>
          <w:tcPr>
            <w:tcW w:w="1249" w:type="pct"/>
            <w:tcBorders>
              <w:top w:val="single" w:sz="4" w:space="0" w:color="auto"/>
              <w:left w:val="nil"/>
              <w:bottom w:val="single" w:sz="4" w:space="0" w:color="auto"/>
              <w:right w:val="nil"/>
            </w:tcBorders>
            <w:shd w:val="clear" w:color="000000" w:fill="C6EFCE"/>
            <w:noWrap/>
            <w:vAlign w:val="bottom"/>
            <w:hideMark/>
          </w:tcPr>
          <w:p w14:paraId="7D8CF14E" w14:textId="77777777" w:rsidR="00701071" w:rsidRPr="00701071" w:rsidRDefault="00701071" w:rsidP="00701071">
            <w:pPr>
              <w:pStyle w:val="ESVTablebody"/>
              <w:rPr>
                <w:b/>
                <w:color w:val="006100"/>
                <w:lang w:eastAsia="en-AU"/>
              </w:rPr>
            </w:pPr>
            <w:r w:rsidRPr="00701071">
              <w:rPr>
                <w:b/>
                <w:color w:val="006100"/>
                <w:lang w:eastAsia="en-AU"/>
              </w:rPr>
              <w:t>25</w:t>
            </w:r>
          </w:p>
        </w:tc>
      </w:tr>
      <w:tr w:rsidR="00701071" w:rsidRPr="00701071" w14:paraId="0C865C30" w14:textId="77777777" w:rsidTr="00BE3F2D">
        <w:trPr>
          <w:trHeight w:val="300"/>
        </w:trPr>
        <w:tc>
          <w:tcPr>
            <w:tcW w:w="1177" w:type="pct"/>
            <w:tcBorders>
              <w:top w:val="nil"/>
              <w:left w:val="nil"/>
              <w:bottom w:val="nil"/>
              <w:right w:val="nil"/>
            </w:tcBorders>
            <w:shd w:val="clear" w:color="auto" w:fill="auto"/>
            <w:noWrap/>
            <w:vAlign w:val="bottom"/>
            <w:hideMark/>
          </w:tcPr>
          <w:p w14:paraId="0B6E444D" w14:textId="77777777" w:rsidR="00701071" w:rsidRPr="005C01BB" w:rsidRDefault="00701071" w:rsidP="00701071">
            <w:pPr>
              <w:pStyle w:val="ESVTablebody"/>
              <w:rPr>
                <w:vertAlign w:val="superscript"/>
                <w:lang w:eastAsia="en-AU"/>
              </w:rPr>
            </w:pPr>
            <w:r w:rsidRPr="00701071">
              <w:rPr>
                <w:lang w:eastAsia="en-AU"/>
              </w:rPr>
              <w:t>Corio</w:t>
            </w:r>
            <w:r w:rsidR="005C01BB">
              <w:rPr>
                <w:vertAlign w:val="superscript"/>
                <w:lang w:eastAsia="en-AU"/>
              </w:rPr>
              <w:t>1</w:t>
            </w:r>
          </w:p>
        </w:tc>
        <w:tc>
          <w:tcPr>
            <w:tcW w:w="441" w:type="pct"/>
            <w:tcBorders>
              <w:top w:val="nil"/>
              <w:left w:val="nil"/>
              <w:bottom w:val="nil"/>
              <w:right w:val="nil"/>
            </w:tcBorders>
            <w:shd w:val="clear" w:color="auto" w:fill="auto"/>
            <w:noWrap/>
            <w:vAlign w:val="bottom"/>
            <w:hideMark/>
          </w:tcPr>
          <w:p w14:paraId="203EEF47" w14:textId="77777777" w:rsidR="00701071" w:rsidRPr="00701071" w:rsidRDefault="00701071" w:rsidP="00701071">
            <w:pPr>
              <w:pStyle w:val="ESVTablebody"/>
              <w:rPr>
                <w:lang w:eastAsia="en-AU"/>
              </w:rPr>
            </w:pPr>
            <w:r w:rsidRPr="00701071">
              <w:rPr>
                <w:lang w:eastAsia="en-AU"/>
              </w:rPr>
              <w:t>CRO</w:t>
            </w:r>
          </w:p>
        </w:tc>
        <w:tc>
          <w:tcPr>
            <w:tcW w:w="515" w:type="pct"/>
            <w:tcBorders>
              <w:top w:val="nil"/>
              <w:left w:val="nil"/>
              <w:bottom w:val="nil"/>
              <w:right w:val="nil"/>
            </w:tcBorders>
            <w:shd w:val="clear" w:color="auto" w:fill="auto"/>
            <w:noWrap/>
            <w:vAlign w:val="bottom"/>
            <w:hideMark/>
          </w:tcPr>
          <w:p w14:paraId="296E3E34" w14:textId="77777777" w:rsidR="00701071" w:rsidRPr="00701071" w:rsidRDefault="00701071" w:rsidP="00701071">
            <w:pPr>
              <w:pStyle w:val="ESVTablebody"/>
              <w:rPr>
                <w:lang w:eastAsia="en-AU"/>
              </w:rPr>
            </w:pPr>
            <w:r w:rsidRPr="00701071">
              <w:rPr>
                <w:lang w:eastAsia="en-AU"/>
              </w:rPr>
              <w:t>3</w:t>
            </w:r>
          </w:p>
        </w:tc>
        <w:tc>
          <w:tcPr>
            <w:tcW w:w="441" w:type="pct"/>
            <w:tcBorders>
              <w:top w:val="nil"/>
              <w:left w:val="nil"/>
              <w:bottom w:val="nil"/>
              <w:right w:val="nil"/>
            </w:tcBorders>
            <w:shd w:val="clear" w:color="auto" w:fill="auto"/>
            <w:noWrap/>
            <w:vAlign w:val="bottom"/>
            <w:hideMark/>
          </w:tcPr>
          <w:p w14:paraId="05550857" w14:textId="77777777" w:rsidR="00701071" w:rsidRPr="00701071" w:rsidRDefault="00701071" w:rsidP="00701071">
            <w:pPr>
              <w:pStyle w:val="ESVTablebody"/>
              <w:rPr>
                <w:lang w:eastAsia="en-AU"/>
              </w:rPr>
            </w:pPr>
            <w:r w:rsidRPr="00701071">
              <w:rPr>
                <w:lang w:eastAsia="en-AU"/>
              </w:rPr>
              <w:t>N/A</w:t>
            </w:r>
          </w:p>
        </w:tc>
        <w:tc>
          <w:tcPr>
            <w:tcW w:w="1177" w:type="pct"/>
            <w:tcBorders>
              <w:top w:val="nil"/>
              <w:left w:val="nil"/>
              <w:bottom w:val="nil"/>
              <w:right w:val="nil"/>
            </w:tcBorders>
            <w:shd w:val="clear" w:color="auto" w:fill="F2F2F2" w:themeFill="background2" w:themeFillShade="F2"/>
            <w:noWrap/>
            <w:vAlign w:val="bottom"/>
            <w:hideMark/>
          </w:tcPr>
          <w:p w14:paraId="2A2DB4F8" w14:textId="5B0545BC" w:rsidR="00701071" w:rsidRPr="00BE3F2D" w:rsidRDefault="00696C01" w:rsidP="00701071">
            <w:pPr>
              <w:pStyle w:val="ESVTablebody"/>
              <w:rPr>
                <w:lang w:eastAsia="en-AU"/>
              </w:rPr>
            </w:pPr>
            <w:r w:rsidRPr="00BE3F2D">
              <w:rPr>
                <w:lang w:eastAsia="en-AU"/>
              </w:rPr>
              <w:t>N/A</w:t>
            </w:r>
          </w:p>
        </w:tc>
        <w:tc>
          <w:tcPr>
            <w:tcW w:w="1249" w:type="pct"/>
            <w:tcBorders>
              <w:top w:val="nil"/>
              <w:left w:val="nil"/>
              <w:bottom w:val="nil"/>
              <w:right w:val="nil"/>
            </w:tcBorders>
            <w:shd w:val="clear" w:color="auto" w:fill="F2F2F2" w:themeFill="background2" w:themeFillShade="F2"/>
            <w:noWrap/>
            <w:vAlign w:val="bottom"/>
            <w:hideMark/>
          </w:tcPr>
          <w:p w14:paraId="36844CE2" w14:textId="74513208" w:rsidR="00701071" w:rsidRPr="00BE3F2D" w:rsidRDefault="00696C01" w:rsidP="00701071">
            <w:pPr>
              <w:pStyle w:val="ESVTablebody"/>
              <w:rPr>
                <w:lang w:eastAsia="en-AU"/>
              </w:rPr>
            </w:pPr>
            <w:r w:rsidRPr="00BE3F2D">
              <w:rPr>
                <w:lang w:eastAsia="en-AU"/>
              </w:rPr>
              <w:t>N/A</w:t>
            </w:r>
          </w:p>
        </w:tc>
      </w:tr>
      <w:tr w:rsidR="00701071" w:rsidRPr="00701071" w14:paraId="155F269C" w14:textId="77777777" w:rsidTr="00BE3F2D">
        <w:trPr>
          <w:trHeight w:val="300"/>
        </w:trPr>
        <w:tc>
          <w:tcPr>
            <w:tcW w:w="1177" w:type="pct"/>
            <w:tcBorders>
              <w:top w:val="nil"/>
              <w:left w:val="nil"/>
              <w:bottom w:val="nil"/>
              <w:right w:val="nil"/>
            </w:tcBorders>
            <w:shd w:val="clear" w:color="auto" w:fill="auto"/>
            <w:noWrap/>
            <w:vAlign w:val="bottom"/>
            <w:hideMark/>
          </w:tcPr>
          <w:p w14:paraId="198B4800" w14:textId="77777777" w:rsidR="00701071" w:rsidRPr="005C01BB" w:rsidRDefault="00701071" w:rsidP="00701071">
            <w:pPr>
              <w:pStyle w:val="ESVTablebody"/>
              <w:rPr>
                <w:vertAlign w:val="superscript"/>
                <w:lang w:eastAsia="en-AU"/>
              </w:rPr>
            </w:pPr>
            <w:r w:rsidRPr="00701071">
              <w:rPr>
                <w:lang w:eastAsia="en-AU"/>
              </w:rPr>
              <w:t>Geelong</w:t>
            </w:r>
            <w:r w:rsidR="005C01BB">
              <w:rPr>
                <w:vertAlign w:val="superscript"/>
                <w:lang w:eastAsia="en-AU"/>
              </w:rPr>
              <w:t>1</w:t>
            </w:r>
          </w:p>
        </w:tc>
        <w:tc>
          <w:tcPr>
            <w:tcW w:w="441" w:type="pct"/>
            <w:tcBorders>
              <w:top w:val="nil"/>
              <w:left w:val="nil"/>
              <w:bottom w:val="nil"/>
              <w:right w:val="nil"/>
            </w:tcBorders>
            <w:shd w:val="clear" w:color="auto" w:fill="auto"/>
            <w:noWrap/>
            <w:vAlign w:val="bottom"/>
            <w:hideMark/>
          </w:tcPr>
          <w:p w14:paraId="0F55E213" w14:textId="77777777" w:rsidR="00701071" w:rsidRPr="00701071" w:rsidRDefault="00701071" w:rsidP="00701071">
            <w:pPr>
              <w:pStyle w:val="ESVTablebody"/>
              <w:rPr>
                <w:lang w:eastAsia="en-AU"/>
              </w:rPr>
            </w:pPr>
            <w:r w:rsidRPr="00701071">
              <w:rPr>
                <w:lang w:eastAsia="en-AU"/>
              </w:rPr>
              <w:t>GL</w:t>
            </w:r>
          </w:p>
        </w:tc>
        <w:tc>
          <w:tcPr>
            <w:tcW w:w="515" w:type="pct"/>
            <w:tcBorders>
              <w:top w:val="nil"/>
              <w:left w:val="nil"/>
              <w:bottom w:val="nil"/>
              <w:right w:val="nil"/>
            </w:tcBorders>
            <w:shd w:val="clear" w:color="auto" w:fill="auto"/>
            <w:noWrap/>
            <w:vAlign w:val="bottom"/>
            <w:hideMark/>
          </w:tcPr>
          <w:p w14:paraId="6CCE9D9C" w14:textId="77777777" w:rsidR="00701071" w:rsidRPr="00701071" w:rsidRDefault="00701071" w:rsidP="00701071">
            <w:pPr>
              <w:pStyle w:val="ESVTablebody"/>
              <w:rPr>
                <w:lang w:eastAsia="en-AU"/>
              </w:rPr>
            </w:pPr>
            <w:r w:rsidRPr="00701071">
              <w:rPr>
                <w:lang w:eastAsia="en-AU"/>
              </w:rPr>
              <w:t>3</w:t>
            </w:r>
          </w:p>
        </w:tc>
        <w:tc>
          <w:tcPr>
            <w:tcW w:w="441" w:type="pct"/>
            <w:tcBorders>
              <w:top w:val="nil"/>
              <w:left w:val="nil"/>
              <w:bottom w:val="nil"/>
              <w:right w:val="nil"/>
            </w:tcBorders>
            <w:shd w:val="clear" w:color="auto" w:fill="auto"/>
            <w:noWrap/>
            <w:vAlign w:val="bottom"/>
            <w:hideMark/>
          </w:tcPr>
          <w:p w14:paraId="4D81580A" w14:textId="77777777" w:rsidR="00701071" w:rsidRPr="00701071" w:rsidRDefault="00701071" w:rsidP="00701071">
            <w:pPr>
              <w:pStyle w:val="ESVTablebody"/>
              <w:rPr>
                <w:lang w:eastAsia="en-AU"/>
              </w:rPr>
            </w:pPr>
            <w:r w:rsidRPr="00701071">
              <w:rPr>
                <w:lang w:eastAsia="en-AU"/>
              </w:rPr>
              <w:t>N/A</w:t>
            </w:r>
          </w:p>
        </w:tc>
        <w:tc>
          <w:tcPr>
            <w:tcW w:w="1177" w:type="pct"/>
            <w:tcBorders>
              <w:top w:val="nil"/>
              <w:left w:val="nil"/>
              <w:bottom w:val="nil"/>
              <w:right w:val="nil"/>
            </w:tcBorders>
            <w:shd w:val="clear" w:color="auto" w:fill="F2F2F2" w:themeFill="background2" w:themeFillShade="F2"/>
            <w:noWrap/>
            <w:vAlign w:val="bottom"/>
            <w:hideMark/>
          </w:tcPr>
          <w:p w14:paraId="761B66E6" w14:textId="69F95CF5" w:rsidR="00701071" w:rsidRPr="00BE3F2D" w:rsidRDefault="00696C01" w:rsidP="00701071">
            <w:pPr>
              <w:pStyle w:val="ESVTablebody"/>
              <w:rPr>
                <w:lang w:eastAsia="en-AU"/>
              </w:rPr>
            </w:pPr>
            <w:r w:rsidRPr="00BE3F2D">
              <w:rPr>
                <w:lang w:eastAsia="en-AU"/>
              </w:rPr>
              <w:t>N/A</w:t>
            </w:r>
          </w:p>
        </w:tc>
        <w:tc>
          <w:tcPr>
            <w:tcW w:w="1249" w:type="pct"/>
            <w:tcBorders>
              <w:top w:val="nil"/>
              <w:left w:val="nil"/>
              <w:bottom w:val="nil"/>
              <w:right w:val="nil"/>
            </w:tcBorders>
            <w:shd w:val="clear" w:color="auto" w:fill="F2F2F2" w:themeFill="background2" w:themeFillShade="F2"/>
            <w:noWrap/>
            <w:vAlign w:val="bottom"/>
            <w:hideMark/>
          </w:tcPr>
          <w:p w14:paraId="14477BA5" w14:textId="1E700D2E" w:rsidR="00701071" w:rsidRPr="00BE3F2D" w:rsidRDefault="00696C01" w:rsidP="00701071">
            <w:pPr>
              <w:pStyle w:val="ESVTablebody"/>
              <w:rPr>
                <w:lang w:eastAsia="en-AU"/>
              </w:rPr>
            </w:pPr>
            <w:r w:rsidRPr="00BE3F2D">
              <w:rPr>
                <w:lang w:eastAsia="en-AU"/>
              </w:rPr>
              <w:t>N/A</w:t>
            </w:r>
          </w:p>
        </w:tc>
      </w:tr>
      <w:tr w:rsidR="00696C01" w:rsidRPr="00701071" w14:paraId="33F73C18" w14:textId="77777777" w:rsidTr="00BE3F2D">
        <w:trPr>
          <w:trHeight w:val="300"/>
        </w:trPr>
        <w:tc>
          <w:tcPr>
            <w:tcW w:w="1177" w:type="pct"/>
            <w:tcBorders>
              <w:top w:val="nil"/>
              <w:left w:val="nil"/>
              <w:bottom w:val="nil"/>
              <w:right w:val="nil"/>
            </w:tcBorders>
            <w:shd w:val="clear" w:color="auto" w:fill="auto"/>
            <w:noWrap/>
            <w:vAlign w:val="bottom"/>
            <w:hideMark/>
          </w:tcPr>
          <w:p w14:paraId="7E58F4F3" w14:textId="77777777" w:rsidR="00696C01" w:rsidRPr="005C01BB" w:rsidRDefault="00696C01" w:rsidP="00696C01">
            <w:pPr>
              <w:pStyle w:val="ESVTablebody"/>
              <w:rPr>
                <w:vertAlign w:val="superscript"/>
                <w:lang w:eastAsia="en-AU"/>
              </w:rPr>
            </w:pPr>
            <w:r w:rsidRPr="00701071">
              <w:rPr>
                <w:lang w:eastAsia="en-AU"/>
              </w:rPr>
              <w:t>Gheringhap</w:t>
            </w:r>
            <w:r>
              <w:rPr>
                <w:vertAlign w:val="superscript"/>
                <w:lang w:eastAsia="en-AU"/>
              </w:rPr>
              <w:t>1</w:t>
            </w:r>
          </w:p>
        </w:tc>
        <w:tc>
          <w:tcPr>
            <w:tcW w:w="441" w:type="pct"/>
            <w:tcBorders>
              <w:top w:val="nil"/>
              <w:left w:val="nil"/>
              <w:bottom w:val="nil"/>
              <w:right w:val="nil"/>
            </w:tcBorders>
            <w:shd w:val="clear" w:color="auto" w:fill="auto"/>
            <w:noWrap/>
            <w:vAlign w:val="bottom"/>
            <w:hideMark/>
          </w:tcPr>
          <w:p w14:paraId="35BA1D04" w14:textId="77777777" w:rsidR="00696C01" w:rsidRPr="00701071" w:rsidRDefault="00696C01" w:rsidP="00696C01">
            <w:pPr>
              <w:pStyle w:val="ESVTablebody"/>
              <w:rPr>
                <w:lang w:eastAsia="en-AU"/>
              </w:rPr>
            </w:pPr>
            <w:r w:rsidRPr="00701071">
              <w:rPr>
                <w:lang w:eastAsia="en-AU"/>
              </w:rPr>
              <w:t>GHP</w:t>
            </w:r>
          </w:p>
        </w:tc>
        <w:tc>
          <w:tcPr>
            <w:tcW w:w="515" w:type="pct"/>
            <w:tcBorders>
              <w:top w:val="nil"/>
              <w:left w:val="nil"/>
              <w:bottom w:val="nil"/>
              <w:right w:val="nil"/>
            </w:tcBorders>
            <w:shd w:val="clear" w:color="auto" w:fill="auto"/>
            <w:noWrap/>
            <w:vAlign w:val="bottom"/>
            <w:hideMark/>
          </w:tcPr>
          <w:p w14:paraId="3FF7FD57" w14:textId="77777777" w:rsidR="00696C01" w:rsidRPr="00701071" w:rsidRDefault="00696C01" w:rsidP="00696C01">
            <w:pPr>
              <w:pStyle w:val="ESVTablebody"/>
              <w:rPr>
                <w:lang w:eastAsia="en-AU"/>
              </w:rPr>
            </w:pPr>
            <w:r w:rsidRPr="00701071">
              <w:rPr>
                <w:lang w:eastAsia="en-AU"/>
              </w:rPr>
              <w:t>3</w:t>
            </w:r>
          </w:p>
        </w:tc>
        <w:tc>
          <w:tcPr>
            <w:tcW w:w="441" w:type="pct"/>
            <w:tcBorders>
              <w:top w:val="nil"/>
              <w:left w:val="nil"/>
              <w:bottom w:val="nil"/>
              <w:right w:val="nil"/>
            </w:tcBorders>
            <w:shd w:val="clear" w:color="auto" w:fill="auto"/>
            <w:noWrap/>
            <w:vAlign w:val="bottom"/>
            <w:hideMark/>
          </w:tcPr>
          <w:p w14:paraId="27BED91C" w14:textId="77777777" w:rsidR="00696C01" w:rsidRPr="00701071" w:rsidRDefault="00696C01" w:rsidP="00696C01">
            <w:pPr>
              <w:pStyle w:val="ESVTablebody"/>
              <w:rPr>
                <w:lang w:eastAsia="en-AU"/>
              </w:rPr>
            </w:pPr>
            <w:r w:rsidRPr="00701071">
              <w:rPr>
                <w:lang w:eastAsia="en-AU"/>
              </w:rPr>
              <w:t>5</w:t>
            </w:r>
          </w:p>
        </w:tc>
        <w:tc>
          <w:tcPr>
            <w:tcW w:w="1177" w:type="pct"/>
            <w:tcBorders>
              <w:top w:val="nil"/>
              <w:left w:val="nil"/>
              <w:bottom w:val="nil"/>
              <w:right w:val="nil"/>
            </w:tcBorders>
            <w:shd w:val="clear" w:color="auto" w:fill="C6EFCE"/>
            <w:noWrap/>
            <w:vAlign w:val="bottom"/>
            <w:hideMark/>
          </w:tcPr>
          <w:p w14:paraId="5F9BCD3A" w14:textId="4BB65FF2" w:rsidR="00696C01" w:rsidRPr="00701071" w:rsidRDefault="00696C01" w:rsidP="00696C01">
            <w:pPr>
              <w:pStyle w:val="ESVTablebody"/>
              <w:rPr>
                <w:color w:val="9C6500"/>
                <w:lang w:eastAsia="en-AU"/>
              </w:rPr>
            </w:pPr>
            <w:r w:rsidRPr="00701071">
              <w:rPr>
                <w:color w:val="006100"/>
                <w:lang w:eastAsia="en-AU"/>
              </w:rPr>
              <w:t>Yes</w:t>
            </w:r>
          </w:p>
        </w:tc>
        <w:tc>
          <w:tcPr>
            <w:tcW w:w="1249" w:type="pct"/>
            <w:tcBorders>
              <w:top w:val="nil"/>
              <w:left w:val="nil"/>
              <w:bottom w:val="nil"/>
              <w:right w:val="nil"/>
            </w:tcBorders>
            <w:shd w:val="clear" w:color="auto" w:fill="C6EFCE"/>
            <w:noWrap/>
            <w:vAlign w:val="bottom"/>
            <w:hideMark/>
          </w:tcPr>
          <w:p w14:paraId="771D23E7" w14:textId="2E8BB6A2" w:rsidR="00696C01" w:rsidRPr="00701071" w:rsidRDefault="00696C01" w:rsidP="00696C01">
            <w:pPr>
              <w:pStyle w:val="ESVTablebody"/>
              <w:rPr>
                <w:color w:val="9C6500"/>
                <w:lang w:eastAsia="en-AU"/>
              </w:rPr>
            </w:pPr>
            <w:r w:rsidRPr="00701071">
              <w:rPr>
                <w:color w:val="006100"/>
                <w:lang w:eastAsia="en-AU"/>
              </w:rPr>
              <w:t>Yes</w:t>
            </w:r>
          </w:p>
        </w:tc>
      </w:tr>
      <w:tr w:rsidR="00696C01" w:rsidRPr="00701071" w14:paraId="06EC2DFE" w14:textId="77777777" w:rsidTr="00660470">
        <w:trPr>
          <w:trHeight w:val="300"/>
        </w:trPr>
        <w:tc>
          <w:tcPr>
            <w:tcW w:w="1177" w:type="pct"/>
            <w:tcBorders>
              <w:top w:val="nil"/>
              <w:left w:val="nil"/>
              <w:bottom w:val="nil"/>
              <w:right w:val="nil"/>
            </w:tcBorders>
            <w:shd w:val="clear" w:color="auto" w:fill="auto"/>
            <w:noWrap/>
            <w:vAlign w:val="bottom"/>
            <w:hideMark/>
          </w:tcPr>
          <w:p w14:paraId="2EC94334" w14:textId="77777777" w:rsidR="00696C01" w:rsidRPr="00701071" w:rsidRDefault="00696C01" w:rsidP="00696C01">
            <w:pPr>
              <w:pStyle w:val="ESVTablebody"/>
              <w:rPr>
                <w:lang w:eastAsia="en-AU"/>
              </w:rPr>
            </w:pPr>
            <w:r w:rsidRPr="00701071">
              <w:rPr>
                <w:lang w:eastAsia="en-AU"/>
              </w:rPr>
              <w:t>Hamilton</w:t>
            </w:r>
          </w:p>
        </w:tc>
        <w:tc>
          <w:tcPr>
            <w:tcW w:w="441" w:type="pct"/>
            <w:tcBorders>
              <w:top w:val="nil"/>
              <w:left w:val="nil"/>
              <w:bottom w:val="nil"/>
              <w:right w:val="nil"/>
            </w:tcBorders>
            <w:shd w:val="clear" w:color="auto" w:fill="auto"/>
            <w:noWrap/>
            <w:vAlign w:val="bottom"/>
            <w:hideMark/>
          </w:tcPr>
          <w:p w14:paraId="7A23FD9A" w14:textId="77777777" w:rsidR="00696C01" w:rsidRPr="00701071" w:rsidRDefault="00696C01" w:rsidP="00696C01">
            <w:pPr>
              <w:pStyle w:val="ESVTablebody"/>
              <w:rPr>
                <w:lang w:eastAsia="en-AU"/>
              </w:rPr>
            </w:pPr>
            <w:r w:rsidRPr="00701071">
              <w:rPr>
                <w:lang w:eastAsia="en-AU"/>
              </w:rPr>
              <w:t>HTN</w:t>
            </w:r>
          </w:p>
        </w:tc>
        <w:tc>
          <w:tcPr>
            <w:tcW w:w="515" w:type="pct"/>
            <w:tcBorders>
              <w:top w:val="nil"/>
              <w:left w:val="nil"/>
              <w:bottom w:val="nil"/>
              <w:right w:val="nil"/>
            </w:tcBorders>
            <w:shd w:val="clear" w:color="auto" w:fill="auto"/>
            <w:noWrap/>
            <w:vAlign w:val="bottom"/>
            <w:hideMark/>
          </w:tcPr>
          <w:p w14:paraId="51C4E35F" w14:textId="77777777" w:rsidR="00696C01" w:rsidRPr="00701071" w:rsidRDefault="00696C01" w:rsidP="00696C01">
            <w:pPr>
              <w:pStyle w:val="ESVTablebody"/>
              <w:rPr>
                <w:lang w:eastAsia="en-AU"/>
              </w:rPr>
            </w:pPr>
            <w:r w:rsidRPr="00701071">
              <w:rPr>
                <w:lang w:eastAsia="en-AU"/>
              </w:rPr>
              <w:t>3</w:t>
            </w:r>
          </w:p>
        </w:tc>
        <w:tc>
          <w:tcPr>
            <w:tcW w:w="441" w:type="pct"/>
            <w:tcBorders>
              <w:top w:val="nil"/>
              <w:left w:val="nil"/>
              <w:bottom w:val="nil"/>
              <w:right w:val="nil"/>
            </w:tcBorders>
            <w:shd w:val="clear" w:color="auto" w:fill="auto"/>
            <w:noWrap/>
            <w:vAlign w:val="bottom"/>
            <w:hideMark/>
          </w:tcPr>
          <w:p w14:paraId="0953990B" w14:textId="77777777" w:rsidR="00696C01" w:rsidRPr="00701071" w:rsidRDefault="00696C01" w:rsidP="00696C01">
            <w:pPr>
              <w:pStyle w:val="ESVTablebody"/>
              <w:rPr>
                <w:lang w:eastAsia="en-AU"/>
              </w:rPr>
            </w:pPr>
            <w:r w:rsidRPr="00701071">
              <w:rPr>
                <w:lang w:eastAsia="en-AU"/>
              </w:rPr>
              <w:t>2</w:t>
            </w:r>
          </w:p>
        </w:tc>
        <w:tc>
          <w:tcPr>
            <w:tcW w:w="1177" w:type="pct"/>
            <w:tcBorders>
              <w:top w:val="nil"/>
              <w:left w:val="nil"/>
              <w:bottom w:val="nil"/>
              <w:right w:val="nil"/>
            </w:tcBorders>
            <w:shd w:val="clear" w:color="auto" w:fill="C6EFCE"/>
            <w:noWrap/>
            <w:vAlign w:val="bottom"/>
          </w:tcPr>
          <w:p w14:paraId="6722F331" w14:textId="40EA3806" w:rsidR="00696C01" w:rsidRPr="00701071" w:rsidRDefault="00696C01" w:rsidP="00696C0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auto" w:fill="C6EFCE"/>
            <w:noWrap/>
            <w:vAlign w:val="bottom"/>
          </w:tcPr>
          <w:p w14:paraId="42D8817B" w14:textId="7474097B" w:rsidR="00696C01" w:rsidRPr="00701071" w:rsidRDefault="00696C01" w:rsidP="00696C01">
            <w:pPr>
              <w:pStyle w:val="ESVTablebody"/>
              <w:rPr>
                <w:color w:val="006100"/>
                <w:lang w:eastAsia="en-AU"/>
              </w:rPr>
            </w:pPr>
            <w:r w:rsidRPr="00701071">
              <w:rPr>
                <w:color w:val="006100"/>
                <w:lang w:eastAsia="en-AU"/>
              </w:rPr>
              <w:t>Yes</w:t>
            </w:r>
          </w:p>
        </w:tc>
      </w:tr>
      <w:tr w:rsidR="00696C01" w:rsidRPr="00701071" w14:paraId="25CEEFB6" w14:textId="77777777" w:rsidTr="00BE3F2D">
        <w:trPr>
          <w:trHeight w:val="300"/>
        </w:trPr>
        <w:tc>
          <w:tcPr>
            <w:tcW w:w="1177" w:type="pct"/>
            <w:tcBorders>
              <w:top w:val="nil"/>
              <w:left w:val="nil"/>
              <w:bottom w:val="nil"/>
              <w:right w:val="nil"/>
            </w:tcBorders>
            <w:shd w:val="clear" w:color="auto" w:fill="auto"/>
            <w:noWrap/>
            <w:vAlign w:val="bottom"/>
            <w:hideMark/>
          </w:tcPr>
          <w:p w14:paraId="2DAD28BD" w14:textId="77777777" w:rsidR="00696C01" w:rsidRPr="00701071" w:rsidRDefault="00696C01" w:rsidP="00696C01">
            <w:pPr>
              <w:pStyle w:val="ESVTablebody"/>
              <w:rPr>
                <w:lang w:eastAsia="en-AU"/>
              </w:rPr>
            </w:pPr>
            <w:r w:rsidRPr="00701071">
              <w:rPr>
                <w:lang w:eastAsia="en-AU"/>
              </w:rPr>
              <w:t>Terang</w:t>
            </w:r>
          </w:p>
        </w:tc>
        <w:tc>
          <w:tcPr>
            <w:tcW w:w="441" w:type="pct"/>
            <w:tcBorders>
              <w:top w:val="nil"/>
              <w:left w:val="nil"/>
              <w:bottom w:val="nil"/>
              <w:right w:val="nil"/>
            </w:tcBorders>
            <w:shd w:val="clear" w:color="auto" w:fill="auto"/>
            <w:noWrap/>
            <w:vAlign w:val="bottom"/>
            <w:hideMark/>
          </w:tcPr>
          <w:p w14:paraId="6700AEBA" w14:textId="77777777" w:rsidR="00696C01" w:rsidRPr="00701071" w:rsidRDefault="00696C01" w:rsidP="00696C01">
            <w:pPr>
              <w:pStyle w:val="ESVTablebody"/>
              <w:rPr>
                <w:lang w:eastAsia="en-AU"/>
              </w:rPr>
            </w:pPr>
            <w:r w:rsidRPr="00701071">
              <w:rPr>
                <w:lang w:eastAsia="en-AU"/>
              </w:rPr>
              <w:t>TRG</w:t>
            </w:r>
          </w:p>
        </w:tc>
        <w:tc>
          <w:tcPr>
            <w:tcW w:w="515" w:type="pct"/>
            <w:tcBorders>
              <w:top w:val="nil"/>
              <w:left w:val="nil"/>
              <w:bottom w:val="nil"/>
              <w:right w:val="nil"/>
            </w:tcBorders>
            <w:shd w:val="clear" w:color="auto" w:fill="auto"/>
            <w:noWrap/>
            <w:vAlign w:val="bottom"/>
            <w:hideMark/>
          </w:tcPr>
          <w:p w14:paraId="203C0E22" w14:textId="77777777" w:rsidR="00696C01" w:rsidRPr="00701071" w:rsidRDefault="00696C01" w:rsidP="00696C01">
            <w:pPr>
              <w:pStyle w:val="ESVTablebody"/>
              <w:rPr>
                <w:lang w:eastAsia="en-AU"/>
              </w:rPr>
            </w:pPr>
            <w:r w:rsidRPr="00701071">
              <w:rPr>
                <w:lang w:eastAsia="en-AU"/>
              </w:rPr>
              <w:t>3</w:t>
            </w:r>
          </w:p>
        </w:tc>
        <w:tc>
          <w:tcPr>
            <w:tcW w:w="441" w:type="pct"/>
            <w:tcBorders>
              <w:top w:val="nil"/>
              <w:left w:val="nil"/>
              <w:bottom w:val="nil"/>
              <w:right w:val="nil"/>
            </w:tcBorders>
            <w:shd w:val="clear" w:color="auto" w:fill="auto"/>
            <w:noWrap/>
            <w:vAlign w:val="bottom"/>
            <w:hideMark/>
          </w:tcPr>
          <w:p w14:paraId="3AF6EBCB" w14:textId="77777777" w:rsidR="00696C01" w:rsidRPr="00701071" w:rsidRDefault="00696C01" w:rsidP="00696C01">
            <w:pPr>
              <w:pStyle w:val="ESVTablebody"/>
              <w:rPr>
                <w:lang w:eastAsia="en-AU"/>
              </w:rPr>
            </w:pPr>
            <w:r w:rsidRPr="00701071">
              <w:rPr>
                <w:lang w:eastAsia="en-AU"/>
              </w:rPr>
              <w:t>2</w:t>
            </w:r>
          </w:p>
        </w:tc>
        <w:tc>
          <w:tcPr>
            <w:tcW w:w="1177" w:type="pct"/>
            <w:tcBorders>
              <w:top w:val="nil"/>
              <w:left w:val="nil"/>
              <w:bottom w:val="nil"/>
              <w:right w:val="nil"/>
            </w:tcBorders>
            <w:shd w:val="clear" w:color="auto" w:fill="C6EFCE"/>
            <w:noWrap/>
            <w:vAlign w:val="bottom"/>
            <w:hideMark/>
          </w:tcPr>
          <w:p w14:paraId="2DC0A27D" w14:textId="229CA294" w:rsidR="00696C01" w:rsidRPr="00701071" w:rsidRDefault="00696C01" w:rsidP="00696C0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auto" w:fill="C6EFCE"/>
            <w:noWrap/>
            <w:vAlign w:val="bottom"/>
            <w:hideMark/>
          </w:tcPr>
          <w:p w14:paraId="522663C9" w14:textId="6E15DB02" w:rsidR="00696C01" w:rsidRPr="00701071" w:rsidRDefault="00696C01" w:rsidP="00696C01">
            <w:pPr>
              <w:pStyle w:val="ESVTablebody"/>
              <w:rPr>
                <w:color w:val="006100"/>
                <w:lang w:eastAsia="en-AU"/>
              </w:rPr>
            </w:pPr>
            <w:r w:rsidRPr="00701071">
              <w:rPr>
                <w:color w:val="006100"/>
                <w:lang w:eastAsia="en-AU"/>
              </w:rPr>
              <w:t>Yes</w:t>
            </w:r>
          </w:p>
        </w:tc>
      </w:tr>
      <w:tr w:rsidR="00696C01" w:rsidRPr="00701071" w14:paraId="63CF649B" w14:textId="77777777" w:rsidTr="00660470">
        <w:trPr>
          <w:trHeight w:val="300"/>
        </w:trPr>
        <w:tc>
          <w:tcPr>
            <w:tcW w:w="1177" w:type="pct"/>
            <w:tcBorders>
              <w:top w:val="nil"/>
              <w:left w:val="nil"/>
              <w:bottom w:val="nil"/>
              <w:right w:val="nil"/>
            </w:tcBorders>
            <w:shd w:val="clear" w:color="auto" w:fill="auto"/>
            <w:noWrap/>
            <w:vAlign w:val="bottom"/>
            <w:hideMark/>
          </w:tcPr>
          <w:p w14:paraId="0ECEDCDB" w14:textId="77777777" w:rsidR="00696C01" w:rsidRPr="00701071" w:rsidRDefault="00696C01" w:rsidP="00696C01">
            <w:pPr>
              <w:pStyle w:val="ESVTablebody"/>
              <w:rPr>
                <w:lang w:eastAsia="en-AU"/>
              </w:rPr>
            </w:pPr>
            <w:r w:rsidRPr="00701071">
              <w:rPr>
                <w:lang w:eastAsia="en-AU"/>
              </w:rPr>
              <w:t>Merbein</w:t>
            </w:r>
          </w:p>
        </w:tc>
        <w:tc>
          <w:tcPr>
            <w:tcW w:w="441" w:type="pct"/>
            <w:tcBorders>
              <w:top w:val="nil"/>
              <w:left w:val="nil"/>
              <w:bottom w:val="nil"/>
              <w:right w:val="nil"/>
            </w:tcBorders>
            <w:shd w:val="clear" w:color="auto" w:fill="auto"/>
            <w:noWrap/>
            <w:vAlign w:val="bottom"/>
            <w:hideMark/>
          </w:tcPr>
          <w:p w14:paraId="30FB78D4" w14:textId="77777777" w:rsidR="00696C01" w:rsidRPr="00701071" w:rsidRDefault="00696C01" w:rsidP="00696C01">
            <w:pPr>
              <w:pStyle w:val="ESVTablebody"/>
              <w:rPr>
                <w:lang w:eastAsia="en-AU"/>
              </w:rPr>
            </w:pPr>
            <w:r w:rsidRPr="00701071">
              <w:rPr>
                <w:lang w:eastAsia="en-AU"/>
              </w:rPr>
              <w:t>MBN</w:t>
            </w:r>
          </w:p>
        </w:tc>
        <w:tc>
          <w:tcPr>
            <w:tcW w:w="515" w:type="pct"/>
            <w:tcBorders>
              <w:top w:val="nil"/>
              <w:left w:val="nil"/>
              <w:bottom w:val="nil"/>
              <w:right w:val="nil"/>
            </w:tcBorders>
            <w:shd w:val="clear" w:color="auto" w:fill="auto"/>
            <w:noWrap/>
            <w:vAlign w:val="bottom"/>
            <w:hideMark/>
          </w:tcPr>
          <w:p w14:paraId="3A572A7E" w14:textId="77777777" w:rsidR="00696C01" w:rsidRPr="00701071" w:rsidRDefault="00696C01" w:rsidP="00696C01">
            <w:pPr>
              <w:pStyle w:val="ESVTablebody"/>
              <w:rPr>
                <w:lang w:eastAsia="en-AU"/>
              </w:rPr>
            </w:pPr>
            <w:r w:rsidRPr="00701071">
              <w:rPr>
                <w:lang w:eastAsia="en-AU"/>
              </w:rPr>
              <w:t>3</w:t>
            </w:r>
          </w:p>
        </w:tc>
        <w:tc>
          <w:tcPr>
            <w:tcW w:w="441" w:type="pct"/>
            <w:tcBorders>
              <w:top w:val="nil"/>
              <w:left w:val="nil"/>
              <w:bottom w:val="nil"/>
              <w:right w:val="nil"/>
            </w:tcBorders>
            <w:shd w:val="clear" w:color="auto" w:fill="auto"/>
            <w:noWrap/>
            <w:vAlign w:val="bottom"/>
            <w:hideMark/>
          </w:tcPr>
          <w:p w14:paraId="3D05F692" w14:textId="77777777" w:rsidR="00696C01" w:rsidRPr="00701071" w:rsidRDefault="00696C01" w:rsidP="00696C01">
            <w:pPr>
              <w:pStyle w:val="ESVTablebody"/>
              <w:rPr>
                <w:lang w:eastAsia="en-AU"/>
              </w:rPr>
            </w:pPr>
            <w:r w:rsidRPr="00701071">
              <w:rPr>
                <w:lang w:eastAsia="en-AU"/>
              </w:rPr>
              <w:t>1</w:t>
            </w:r>
          </w:p>
        </w:tc>
        <w:tc>
          <w:tcPr>
            <w:tcW w:w="1177" w:type="pct"/>
            <w:tcBorders>
              <w:top w:val="nil"/>
              <w:left w:val="nil"/>
              <w:bottom w:val="nil"/>
              <w:right w:val="nil"/>
            </w:tcBorders>
            <w:shd w:val="clear" w:color="auto" w:fill="C6EFCE"/>
            <w:noWrap/>
            <w:vAlign w:val="bottom"/>
            <w:hideMark/>
          </w:tcPr>
          <w:p w14:paraId="28D10DDE" w14:textId="577FD45C" w:rsidR="00696C01" w:rsidRPr="00701071" w:rsidRDefault="00696C01" w:rsidP="00696C0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auto" w:fill="C6EFCE"/>
            <w:noWrap/>
            <w:vAlign w:val="bottom"/>
            <w:hideMark/>
          </w:tcPr>
          <w:p w14:paraId="770DB46B" w14:textId="5E02B858" w:rsidR="00696C01" w:rsidRPr="00701071" w:rsidRDefault="00696C01" w:rsidP="00696C01">
            <w:pPr>
              <w:pStyle w:val="ESVTablebody"/>
              <w:rPr>
                <w:color w:val="006100"/>
                <w:lang w:eastAsia="en-AU"/>
              </w:rPr>
            </w:pPr>
            <w:r w:rsidRPr="00701071">
              <w:rPr>
                <w:color w:val="006100"/>
                <w:lang w:eastAsia="en-AU"/>
              </w:rPr>
              <w:t>Yes</w:t>
            </w:r>
          </w:p>
        </w:tc>
      </w:tr>
      <w:tr w:rsidR="00696C01" w:rsidRPr="00701071" w14:paraId="755B28F6" w14:textId="77777777" w:rsidTr="00660470">
        <w:trPr>
          <w:trHeight w:val="300"/>
        </w:trPr>
        <w:tc>
          <w:tcPr>
            <w:tcW w:w="1177" w:type="pct"/>
            <w:tcBorders>
              <w:top w:val="nil"/>
              <w:left w:val="nil"/>
              <w:bottom w:val="nil"/>
              <w:right w:val="nil"/>
            </w:tcBorders>
            <w:shd w:val="clear" w:color="auto" w:fill="auto"/>
            <w:noWrap/>
            <w:vAlign w:val="bottom"/>
            <w:hideMark/>
          </w:tcPr>
          <w:p w14:paraId="26537257" w14:textId="77777777" w:rsidR="00696C01" w:rsidRPr="00701071" w:rsidRDefault="00696C01" w:rsidP="00696C01">
            <w:pPr>
              <w:pStyle w:val="ESVTablebody"/>
              <w:rPr>
                <w:lang w:eastAsia="en-AU"/>
              </w:rPr>
            </w:pPr>
            <w:r w:rsidRPr="00701071">
              <w:rPr>
                <w:lang w:eastAsia="en-AU"/>
              </w:rPr>
              <w:t>Stawell</w:t>
            </w:r>
          </w:p>
        </w:tc>
        <w:tc>
          <w:tcPr>
            <w:tcW w:w="441" w:type="pct"/>
            <w:tcBorders>
              <w:top w:val="nil"/>
              <w:left w:val="nil"/>
              <w:bottom w:val="nil"/>
              <w:right w:val="nil"/>
            </w:tcBorders>
            <w:shd w:val="clear" w:color="auto" w:fill="auto"/>
            <w:noWrap/>
            <w:vAlign w:val="bottom"/>
            <w:hideMark/>
          </w:tcPr>
          <w:p w14:paraId="6A5639E3" w14:textId="77777777" w:rsidR="00696C01" w:rsidRPr="00701071" w:rsidRDefault="00696C01" w:rsidP="00696C01">
            <w:pPr>
              <w:pStyle w:val="ESVTablebody"/>
              <w:rPr>
                <w:lang w:eastAsia="en-AU"/>
              </w:rPr>
            </w:pPr>
            <w:r w:rsidRPr="00701071">
              <w:rPr>
                <w:lang w:eastAsia="en-AU"/>
              </w:rPr>
              <w:t>STL</w:t>
            </w:r>
          </w:p>
        </w:tc>
        <w:tc>
          <w:tcPr>
            <w:tcW w:w="515" w:type="pct"/>
            <w:tcBorders>
              <w:top w:val="nil"/>
              <w:left w:val="nil"/>
              <w:bottom w:val="nil"/>
              <w:right w:val="nil"/>
            </w:tcBorders>
            <w:shd w:val="clear" w:color="auto" w:fill="auto"/>
            <w:noWrap/>
            <w:vAlign w:val="bottom"/>
            <w:hideMark/>
          </w:tcPr>
          <w:p w14:paraId="08F7A1D8" w14:textId="77777777" w:rsidR="00696C01" w:rsidRPr="00701071" w:rsidRDefault="00696C01" w:rsidP="00696C01">
            <w:pPr>
              <w:pStyle w:val="ESVTablebody"/>
              <w:rPr>
                <w:lang w:eastAsia="en-AU"/>
              </w:rPr>
            </w:pPr>
            <w:r w:rsidRPr="00701071">
              <w:rPr>
                <w:lang w:eastAsia="en-AU"/>
              </w:rPr>
              <w:t>3</w:t>
            </w:r>
          </w:p>
        </w:tc>
        <w:tc>
          <w:tcPr>
            <w:tcW w:w="441" w:type="pct"/>
            <w:tcBorders>
              <w:top w:val="nil"/>
              <w:left w:val="nil"/>
              <w:bottom w:val="nil"/>
              <w:right w:val="nil"/>
            </w:tcBorders>
            <w:shd w:val="clear" w:color="auto" w:fill="auto"/>
            <w:noWrap/>
            <w:vAlign w:val="bottom"/>
            <w:hideMark/>
          </w:tcPr>
          <w:p w14:paraId="1F088FEC" w14:textId="77777777" w:rsidR="00696C01" w:rsidRPr="00701071" w:rsidRDefault="00696C01" w:rsidP="00696C01">
            <w:pPr>
              <w:pStyle w:val="ESVTablebody"/>
              <w:rPr>
                <w:lang w:eastAsia="en-AU"/>
              </w:rPr>
            </w:pPr>
            <w:r w:rsidRPr="00701071">
              <w:rPr>
                <w:lang w:eastAsia="en-AU"/>
              </w:rPr>
              <w:t>1</w:t>
            </w:r>
          </w:p>
        </w:tc>
        <w:tc>
          <w:tcPr>
            <w:tcW w:w="1177" w:type="pct"/>
            <w:tcBorders>
              <w:top w:val="nil"/>
              <w:left w:val="nil"/>
              <w:bottom w:val="nil"/>
              <w:right w:val="nil"/>
            </w:tcBorders>
            <w:shd w:val="clear" w:color="auto" w:fill="C6EFCE"/>
            <w:noWrap/>
            <w:vAlign w:val="bottom"/>
            <w:hideMark/>
          </w:tcPr>
          <w:p w14:paraId="268609E8" w14:textId="2966E987" w:rsidR="00696C01" w:rsidRPr="00701071" w:rsidRDefault="00696C01" w:rsidP="00696C0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auto" w:fill="C6EFCE"/>
            <w:noWrap/>
            <w:vAlign w:val="bottom"/>
            <w:hideMark/>
          </w:tcPr>
          <w:p w14:paraId="7F36D375" w14:textId="6C19A68C" w:rsidR="00696C01" w:rsidRPr="00701071" w:rsidRDefault="00696C01" w:rsidP="00696C01">
            <w:pPr>
              <w:pStyle w:val="ESVTablebody"/>
              <w:rPr>
                <w:color w:val="006100"/>
                <w:lang w:eastAsia="en-AU"/>
              </w:rPr>
            </w:pPr>
            <w:r w:rsidRPr="00701071">
              <w:rPr>
                <w:color w:val="006100"/>
                <w:lang w:eastAsia="en-AU"/>
              </w:rPr>
              <w:t>Yes</w:t>
            </w:r>
          </w:p>
        </w:tc>
      </w:tr>
      <w:tr w:rsidR="00696C01" w:rsidRPr="00701071" w14:paraId="43E29447" w14:textId="77777777" w:rsidTr="00BE3F2D">
        <w:trPr>
          <w:trHeight w:val="300"/>
        </w:trPr>
        <w:tc>
          <w:tcPr>
            <w:tcW w:w="1177" w:type="pct"/>
            <w:tcBorders>
              <w:top w:val="nil"/>
              <w:left w:val="nil"/>
              <w:bottom w:val="nil"/>
              <w:right w:val="nil"/>
            </w:tcBorders>
            <w:shd w:val="clear" w:color="auto" w:fill="auto"/>
            <w:noWrap/>
            <w:vAlign w:val="bottom"/>
            <w:hideMark/>
          </w:tcPr>
          <w:p w14:paraId="453F5024" w14:textId="77777777" w:rsidR="00696C01" w:rsidRPr="005C01BB" w:rsidRDefault="00696C01" w:rsidP="00696C01">
            <w:pPr>
              <w:pStyle w:val="ESVTablebody"/>
              <w:rPr>
                <w:vertAlign w:val="superscript"/>
                <w:lang w:eastAsia="en-AU"/>
              </w:rPr>
            </w:pPr>
            <w:r w:rsidRPr="00701071">
              <w:rPr>
                <w:lang w:eastAsia="en-AU"/>
              </w:rPr>
              <w:t>Torquay</w:t>
            </w:r>
            <w:r>
              <w:rPr>
                <w:vertAlign w:val="superscript"/>
                <w:lang w:eastAsia="en-AU"/>
              </w:rPr>
              <w:t>2</w:t>
            </w:r>
          </w:p>
        </w:tc>
        <w:tc>
          <w:tcPr>
            <w:tcW w:w="441" w:type="pct"/>
            <w:tcBorders>
              <w:top w:val="nil"/>
              <w:left w:val="nil"/>
              <w:bottom w:val="nil"/>
              <w:right w:val="nil"/>
            </w:tcBorders>
            <w:shd w:val="clear" w:color="auto" w:fill="auto"/>
            <w:noWrap/>
            <w:vAlign w:val="bottom"/>
            <w:hideMark/>
          </w:tcPr>
          <w:p w14:paraId="28F248C6" w14:textId="77777777" w:rsidR="00696C01" w:rsidRPr="00701071" w:rsidRDefault="00696C01" w:rsidP="00696C01">
            <w:pPr>
              <w:pStyle w:val="ESVTablebody"/>
              <w:rPr>
                <w:lang w:eastAsia="en-AU"/>
              </w:rPr>
            </w:pPr>
            <w:r w:rsidRPr="00701071">
              <w:rPr>
                <w:lang w:eastAsia="en-AU"/>
              </w:rPr>
              <w:t>TQY</w:t>
            </w:r>
          </w:p>
        </w:tc>
        <w:tc>
          <w:tcPr>
            <w:tcW w:w="515" w:type="pct"/>
            <w:tcBorders>
              <w:top w:val="nil"/>
              <w:left w:val="nil"/>
              <w:bottom w:val="nil"/>
              <w:right w:val="nil"/>
            </w:tcBorders>
            <w:shd w:val="clear" w:color="auto" w:fill="auto"/>
            <w:noWrap/>
            <w:vAlign w:val="bottom"/>
            <w:hideMark/>
          </w:tcPr>
          <w:p w14:paraId="71DEA9A5" w14:textId="77777777" w:rsidR="00696C01" w:rsidRPr="00701071" w:rsidRDefault="00696C01" w:rsidP="00696C01">
            <w:pPr>
              <w:pStyle w:val="ESVTablebody"/>
              <w:rPr>
                <w:lang w:eastAsia="en-AU"/>
              </w:rPr>
            </w:pPr>
            <w:r w:rsidRPr="00701071">
              <w:rPr>
                <w:lang w:eastAsia="en-AU"/>
              </w:rPr>
              <w:t>3</w:t>
            </w:r>
          </w:p>
        </w:tc>
        <w:tc>
          <w:tcPr>
            <w:tcW w:w="441" w:type="pct"/>
            <w:tcBorders>
              <w:top w:val="nil"/>
              <w:left w:val="nil"/>
              <w:bottom w:val="nil"/>
              <w:right w:val="nil"/>
            </w:tcBorders>
            <w:shd w:val="clear" w:color="auto" w:fill="auto"/>
            <w:noWrap/>
            <w:vAlign w:val="bottom"/>
            <w:hideMark/>
          </w:tcPr>
          <w:p w14:paraId="061F175B" w14:textId="77777777" w:rsidR="00696C01" w:rsidRPr="00701071" w:rsidRDefault="00696C01" w:rsidP="00696C01">
            <w:pPr>
              <w:pStyle w:val="ESVTablebody"/>
              <w:rPr>
                <w:lang w:eastAsia="en-AU"/>
              </w:rPr>
            </w:pPr>
            <w:r w:rsidRPr="00701071">
              <w:rPr>
                <w:lang w:eastAsia="en-AU"/>
              </w:rPr>
              <w:t>N/A</w:t>
            </w:r>
          </w:p>
        </w:tc>
        <w:tc>
          <w:tcPr>
            <w:tcW w:w="1177" w:type="pct"/>
            <w:tcBorders>
              <w:top w:val="nil"/>
              <w:left w:val="nil"/>
              <w:bottom w:val="nil"/>
              <w:right w:val="nil"/>
            </w:tcBorders>
            <w:shd w:val="clear" w:color="auto" w:fill="C6EFCE"/>
            <w:noWrap/>
            <w:vAlign w:val="bottom"/>
            <w:hideMark/>
          </w:tcPr>
          <w:p w14:paraId="71CFADA3" w14:textId="2F174624" w:rsidR="00696C01" w:rsidRPr="00822189" w:rsidRDefault="00696C01" w:rsidP="00696C0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auto" w:fill="C6EFCE"/>
            <w:noWrap/>
            <w:vAlign w:val="bottom"/>
            <w:hideMark/>
          </w:tcPr>
          <w:p w14:paraId="47452D2B" w14:textId="2AEAA188" w:rsidR="00696C01" w:rsidRPr="00701071" w:rsidRDefault="00696C01" w:rsidP="00696C01">
            <w:pPr>
              <w:pStyle w:val="ESVTablebody"/>
              <w:rPr>
                <w:color w:val="9C6500"/>
                <w:lang w:eastAsia="en-AU"/>
              </w:rPr>
            </w:pPr>
            <w:r w:rsidRPr="00701071">
              <w:rPr>
                <w:color w:val="006100"/>
                <w:lang w:eastAsia="en-AU"/>
              </w:rPr>
              <w:t>Yes</w:t>
            </w:r>
          </w:p>
        </w:tc>
      </w:tr>
      <w:tr w:rsidR="00696C01" w:rsidRPr="00701071" w14:paraId="2813ED70" w14:textId="77777777" w:rsidTr="00BE3F2D">
        <w:trPr>
          <w:trHeight w:val="300"/>
        </w:trPr>
        <w:tc>
          <w:tcPr>
            <w:tcW w:w="1177" w:type="pct"/>
            <w:tcBorders>
              <w:top w:val="nil"/>
              <w:left w:val="nil"/>
              <w:bottom w:val="nil"/>
              <w:right w:val="nil"/>
            </w:tcBorders>
            <w:shd w:val="clear" w:color="auto" w:fill="auto"/>
            <w:noWrap/>
            <w:vAlign w:val="bottom"/>
            <w:hideMark/>
          </w:tcPr>
          <w:p w14:paraId="665F3079" w14:textId="77777777" w:rsidR="00696C01" w:rsidRPr="005C01BB" w:rsidRDefault="00696C01" w:rsidP="00696C01">
            <w:pPr>
              <w:pStyle w:val="ESVTablebody"/>
              <w:rPr>
                <w:vertAlign w:val="superscript"/>
                <w:lang w:eastAsia="en-AU"/>
              </w:rPr>
            </w:pPr>
            <w:proofErr w:type="spellStart"/>
            <w:r w:rsidRPr="00701071">
              <w:rPr>
                <w:lang w:eastAsia="en-AU"/>
              </w:rPr>
              <w:t>Waurn</w:t>
            </w:r>
            <w:proofErr w:type="spellEnd"/>
            <w:r w:rsidRPr="00701071">
              <w:rPr>
                <w:lang w:eastAsia="en-AU"/>
              </w:rPr>
              <w:t xml:space="preserve"> Ponds</w:t>
            </w:r>
            <w:r>
              <w:rPr>
                <w:vertAlign w:val="superscript"/>
                <w:lang w:eastAsia="en-AU"/>
              </w:rPr>
              <w:t>2</w:t>
            </w:r>
          </w:p>
        </w:tc>
        <w:tc>
          <w:tcPr>
            <w:tcW w:w="441" w:type="pct"/>
            <w:tcBorders>
              <w:top w:val="nil"/>
              <w:left w:val="nil"/>
              <w:bottom w:val="nil"/>
              <w:right w:val="nil"/>
            </w:tcBorders>
            <w:shd w:val="clear" w:color="auto" w:fill="auto"/>
            <w:noWrap/>
            <w:vAlign w:val="bottom"/>
            <w:hideMark/>
          </w:tcPr>
          <w:p w14:paraId="6CD37323" w14:textId="77777777" w:rsidR="00696C01" w:rsidRPr="00701071" w:rsidRDefault="00696C01" w:rsidP="00696C01">
            <w:pPr>
              <w:pStyle w:val="ESVTablebody"/>
              <w:rPr>
                <w:lang w:eastAsia="en-AU"/>
              </w:rPr>
            </w:pPr>
            <w:r w:rsidRPr="00701071">
              <w:rPr>
                <w:lang w:eastAsia="en-AU"/>
              </w:rPr>
              <w:t>WPD</w:t>
            </w:r>
          </w:p>
        </w:tc>
        <w:tc>
          <w:tcPr>
            <w:tcW w:w="515" w:type="pct"/>
            <w:tcBorders>
              <w:top w:val="nil"/>
              <w:left w:val="nil"/>
              <w:bottom w:val="nil"/>
              <w:right w:val="nil"/>
            </w:tcBorders>
            <w:shd w:val="clear" w:color="auto" w:fill="auto"/>
            <w:noWrap/>
            <w:vAlign w:val="bottom"/>
            <w:hideMark/>
          </w:tcPr>
          <w:p w14:paraId="06F4F61C" w14:textId="77777777" w:rsidR="00696C01" w:rsidRPr="00701071" w:rsidRDefault="00696C01" w:rsidP="00696C01">
            <w:pPr>
              <w:pStyle w:val="ESVTablebody"/>
              <w:rPr>
                <w:lang w:eastAsia="en-AU"/>
              </w:rPr>
            </w:pPr>
            <w:r w:rsidRPr="00701071">
              <w:rPr>
                <w:lang w:eastAsia="en-AU"/>
              </w:rPr>
              <w:t>3</w:t>
            </w:r>
          </w:p>
        </w:tc>
        <w:tc>
          <w:tcPr>
            <w:tcW w:w="441" w:type="pct"/>
            <w:tcBorders>
              <w:top w:val="nil"/>
              <w:left w:val="nil"/>
              <w:bottom w:val="nil"/>
              <w:right w:val="nil"/>
            </w:tcBorders>
            <w:shd w:val="clear" w:color="auto" w:fill="auto"/>
            <w:noWrap/>
            <w:vAlign w:val="bottom"/>
            <w:hideMark/>
          </w:tcPr>
          <w:p w14:paraId="7E925554" w14:textId="77777777" w:rsidR="00696C01" w:rsidRPr="00701071" w:rsidRDefault="00696C01" w:rsidP="00696C01">
            <w:pPr>
              <w:pStyle w:val="ESVTablebody"/>
              <w:rPr>
                <w:lang w:eastAsia="en-AU"/>
              </w:rPr>
            </w:pPr>
            <w:r w:rsidRPr="00701071">
              <w:rPr>
                <w:lang w:eastAsia="en-AU"/>
              </w:rPr>
              <w:t>4</w:t>
            </w:r>
          </w:p>
        </w:tc>
        <w:tc>
          <w:tcPr>
            <w:tcW w:w="1177" w:type="pct"/>
            <w:tcBorders>
              <w:top w:val="nil"/>
              <w:left w:val="nil"/>
              <w:bottom w:val="nil"/>
              <w:right w:val="nil"/>
            </w:tcBorders>
            <w:shd w:val="clear" w:color="auto" w:fill="C6EFCE"/>
            <w:noWrap/>
            <w:vAlign w:val="bottom"/>
            <w:hideMark/>
          </w:tcPr>
          <w:p w14:paraId="4EE06A74" w14:textId="064398B4" w:rsidR="00696C01" w:rsidRPr="00822189" w:rsidRDefault="00696C01" w:rsidP="00696C01">
            <w:pPr>
              <w:pStyle w:val="ESVTablebody"/>
              <w:rPr>
                <w:color w:val="006100"/>
                <w:lang w:eastAsia="en-AU"/>
              </w:rPr>
            </w:pPr>
            <w:r w:rsidRPr="00701071">
              <w:rPr>
                <w:color w:val="006100"/>
                <w:lang w:eastAsia="en-AU"/>
              </w:rPr>
              <w:t>Yes</w:t>
            </w:r>
          </w:p>
        </w:tc>
        <w:tc>
          <w:tcPr>
            <w:tcW w:w="1249" w:type="pct"/>
            <w:tcBorders>
              <w:top w:val="nil"/>
              <w:left w:val="nil"/>
              <w:bottom w:val="nil"/>
              <w:right w:val="nil"/>
            </w:tcBorders>
            <w:shd w:val="clear" w:color="auto" w:fill="C6EFCE"/>
            <w:noWrap/>
            <w:vAlign w:val="bottom"/>
            <w:hideMark/>
          </w:tcPr>
          <w:p w14:paraId="1260D68F" w14:textId="6A45F101" w:rsidR="00696C01" w:rsidRPr="00701071" w:rsidRDefault="00696C01" w:rsidP="00696C01">
            <w:pPr>
              <w:pStyle w:val="ESVTablebody"/>
              <w:rPr>
                <w:color w:val="9C6500"/>
                <w:lang w:eastAsia="en-AU"/>
              </w:rPr>
            </w:pPr>
            <w:r w:rsidRPr="00701071">
              <w:rPr>
                <w:color w:val="006100"/>
                <w:lang w:eastAsia="en-AU"/>
              </w:rPr>
              <w:t>Yes</w:t>
            </w:r>
          </w:p>
        </w:tc>
      </w:tr>
      <w:tr w:rsidR="00701071" w:rsidRPr="00701071" w14:paraId="1315C6C7" w14:textId="77777777" w:rsidTr="00660470">
        <w:trPr>
          <w:trHeight w:val="300"/>
        </w:trPr>
        <w:tc>
          <w:tcPr>
            <w:tcW w:w="1177" w:type="pct"/>
            <w:tcBorders>
              <w:top w:val="single" w:sz="4" w:space="0" w:color="auto"/>
              <w:left w:val="nil"/>
              <w:bottom w:val="single" w:sz="4" w:space="0" w:color="auto"/>
              <w:right w:val="nil"/>
            </w:tcBorders>
            <w:shd w:val="clear" w:color="auto" w:fill="auto"/>
            <w:noWrap/>
            <w:vAlign w:val="bottom"/>
            <w:hideMark/>
          </w:tcPr>
          <w:p w14:paraId="1F88B216" w14:textId="77777777" w:rsidR="00701071" w:rsidRPr="00701071" w:rsidRDefault="00701071" w:rsidP="00701071">
            <w:pPr>
              <w:pStyle w:val="ESVTablebody"/>
              <w:rPr>
                <w:b/>
                <w:lang w:eastAsia="en-AU"/>
              </w:rPr>
            </w:pPr>
            <w:r w:rsidRPr="00701071">
              <w:rPr>
                <w:b/>
                <w:lang w:eastAsia="en-AU"/>
              </w:rPr>
              <w:t>Tranche 3 (1 May 2023)</w:t>
            </w:r>
          </w:p>
        </w:tc>
        <w:tc>
          <w:tcPr>
            <w:tcW w:w="956" w:type="pct"/>
            <w:gridSpan w:val="2"/>
            <w:tcBorders>
              <w:top w:val="single" w:sz="4" w:space="0" w:color="auto"/>
              <w:left w:val="nil"/>
              <w:bottom w:val="single" w:sz="4" w:space="0" w:color="auto"/>
              <w:right w:val="nil"/>
            </w:tcBorders>
            <w:shd w:val="clear" w:color="auto" w:fill="auto"/>
            <w:noWrap/>
            <w:vAlign w:val="bottom"/>
            <w:hideMark/>
          </w:tcPr>
          <w:p w14:paraId="5A24CC02" w14:textId="77777777" w:rsidR="00701071" w:rsidRPr="00701071" w:rsidRDefault="00701071" w:rsidP="00701071">
            <w:pPr>
              <w:pStyle w:val="ESVTablebody"/>
              <w:rPr>
                <w:b/>
                <w:lang w:eastAsia="en-AU"/>
              </w:rPr>
            </w:pPr>
          </w:p>
        </w:tc>
        <w:tc>
          <w:tcPr>
            <w:tcW w:w="441" w:type="pct"/>
            <w:tcBorders>
              <w:top w:val="single" w:sz="4" w:space="0" w:color="auto"/>
              <w:left w:val="nil"/>
              <w:bottom w:val="single" w:sz="4" w:space="0" w:color="auto"/>
              <w:right w:val="nil"/>
            </w:tcBorders>
            <w:shd w:val="clear" w:color="auto" w:fill="auto"/>
            <w:noWrap/>
            <w:vAlign w:val="bottom"/>
            <w:hideMark/>
          </w:tcPr>
          <w:p w14:paraId="50B356A5" w14:textId="77777777" w:rsidR="00701071" w:rsidRPr="00701071" w:rsidRDefault="00701071" w:rsidP="00701071">
            <w:pPr>
              <w:pStyle w:val="ESVTablebody"/>
              <w:rPr>
                <w:b/>
                <w:lang w:eastAsia="en-AU"/>
              </w:rPr>
            </w:pPr>
            <w:r w:rsidRPr="00701071">
              <w:rPr>
                <w:b/>
                <w:lang w:eastAsia="en-AU"/>
              </w:rPr>
              <w:t>15</w:t>
            </w:r>
          </w:p>
        </w:tc>
        <w:tc>
          <w:tcPr>
            <w:tcW w:w="1177" w:type="pct"/>
            <w:tcBorders>
              <w:top w:val="single" w:sz="4" w:space="0" w:color="auto"/>
              <w:left w:val="nil"/>
              <w:bottom w:val="single" w:sz="4" w:space="0" w:color="auto"/>
              <w:right w:val="nil"/>
            </w:tcBorders>
            <w:shd w:val="clear" w:color="auto" w:fill="auto"/>
            <w:noWrap/>
            <w:vAlign w:val="bottom"/>
            <w:hideMark/>
          </w:tcPr>
          <w:p w14:paraId="0B0FE3B1" w14:textId="183B955F" w:rsidR="00701071" w:rsidRPr="00701071" w:rsidRDefault="00C82845" w:rsidP="00701071">
            <w:pPr>
              <w:pStyle w:val="ESVTablebody"/>
              <w:rPr>
                <w:b/>
                <w:lang w:eastAsia="en-AU"/>
              </w:rPr>
            </w:pPr>
            <w:r>
              <w:rPr>
                <w:b/>
                <w:lang w:eastAsia="en-AU"/>
              </w:rPr>
              <w:t>15</w:t>
            </w:r>
          </w:p>
        </w:tc>
        <w:tc>
          <w:tcPr>
            <w:tcW w:w="1249" w:type="pct"/>
            <w:tcBorders>
              <w:top w:val="single" w:sz="4" w:space="0" w:color="auto"/>
              <w:left w:val="nil"/>
              <w:bottom w:val="single" w:sz="4" w:space="0" w:color="auto"/>
              <w:right w:val="nil"/>
            </w:tcBorders>
            <w:shd w:val="clear" w:color="auto" w:fill="auto"/>
            <w:noWrap/>
            <w:vAlign w:val="bottom"/>
            <w:hideMark/>
          </w:tcPr>
          <w:p w14:paraId="7B9EB86A" w14:textId="40DE2777" w:rsidR="00701071" w:rsidRPr="00701071" w:rsidRDefault="00C82845" w:rsidP="00701071">
            <w:pPr>
              <w:pStyle w:val="ESVTablebody"/>
              <w:rPr>
                <w:b/>
                <w:lang w:eastAsia="en-AU"/>
              </w:rPr>
            </w:pPr>
            <w:r>
              <w:rPr>
                <w:b/>
                <w:lang w:eastAsia="en-AU"/>
              </w:rPr>
              <w:t>15</w:t>
            </w:r>
          </w:p>
        </w:tc>
      </w:tr>
      <w:tr w:rsidR="00701071" w:rsidRPr="00701071" w14:paraId="2140FCE4" w14:textId="77777777" w:rsidTr="00660470">
        <w:trPr>
          <w:trHeight w:val="315"/>
        </w:trPr>
        <w:tc>
          <w:tcPr>
            <w:tcW w:w="1177" w:type="pct"/>
            <w:tcBorders>
              <w:top w:val="nil"/>
              <w:left w:val="nil"/>
              <w:bottom w:val="single" w:sz="8" w:space="0" w:color="auto"/>
              <w:right w:val="nil"/>
            </w:tcBorders>
            <w:shd w:val="clear" w:color="auto" w:fill="auto"/>
            <w:noWrap/>
            <w:vAlign w:val="bottom"/>
            <w:hideMark/>
          </w:tcPr>
          <w:p w14:paraId="457774F8" w14:textId="77777777" w:rsidR="00701071" w:rsidRPr="00701071" w:rsidRDefault="00701071" w:rsidP="00701071">
            <w:pPr>
              <w:pStyle w:val="ESVTablebody"/>
              <w:rPr>
                <w:b/>
                <w:lang w:eastAsia="en-AU"/>
              </w:rPr>
            </w:pPr>
            <w:r w:rsidRPr="00701071">
              <w:rPr>
                <w:b/>
                <w:lang w:eastAsia="en-AU"/>
              </w:rPr>
              <w:t>Total Program</w:t>
            </w:r>
          </w:p>
        </w:tc>
        <w:tc>
          <w:tcPr>
            <w:tcW w:w="956" w:type="pct"/>
            <w:gridSpan w:val="2"/>
            <w:tcBorders>
              <w:top w:val="single" w:sz="4" w:space="0" w:color="auto"/>
              <w:left w:val="nil"/>
              <w:bottom w:val="single" w:sz="8" w:space="0" w:color="auto"/>
              <w:right w:val="nil"/>
            </w:tcBorders>
            <w:shd w:val="clear" w:color="auto" w:fill="auto"/>
            <w:noWrap/>
            <w:vAlign w:val="bottom"/>
            <w:hideMark/>
          </w:tcPr>
          <w:p w14:paraId="12CF1C2C" w14:textId="77777777" w:rsidR="00701071" w:rsidRPr="00701071" w:rsidRDefault="00701071" w:rsidP="00701071">
            <w:pPr>
              <w:pStyle w:val="ESVTablebody"/>
              <w:rPr>
                <w:b/>
                <w:lang w:eastAsia="en-AU"/>
              </w:rPr>
            </w:pPr>
          </w:p>
        </w:tc>
        <w:tc>
          <w:tcPr>
            <w:tcW w:w="441" w:type="pct"/>
            <w:tcBorders>
              <w:top w:val="nil"/>
              <w:left w:val="nil"/>
              <w:bottom w:val="single" w:sz="8" w:space="0" w:color="auto"/>
              <w:right w:val="nil"/>
            </w:tcBorders>
            <w:shd w:val="clear" w:color="auto" w:fill="auto"/>
            <w:noWrap/>
            <w:vAlign w:val="bottom"/>
            <w:hideMark/>
          </w:tcPr>
          <w:p w14:paraId="2E7881CD" w14:textId="77777777" w:rsidR="00701071" w:rsidRPr="00701071" w:rsidRDefault="00701071" w:rsidP="00701071">
            <w:pPr>
              <w:pStyle w:val="ESVTablebody"/>
              <w:rPr>
                <w:b/>
                <w:lang w:eastAsia="en-AU"/>
              </w:rPr>
            </w:pPr>
            <w:r w:rsidRPr="00701071">
              <w:rPr>
                <w:b/>
                <w:lang w:eastAsia="en-AU"/>
              </w:rPr>
              <w:t>70</w:t>
            </w:r>
          </w:p>
        </w:tc>
        <w:tc>
          <w:tcPr>
            <w:tcW w:w="1177" w:type="pct"/>
            <w:tcBorders>
              <w:top w:val="nil"/>
              <w:left w:val="nil"/>
              <w:bottom w:val="single" w:sz="8" w:space="0" w:color="auto"/>
              <w:right w:val="nil"/>
            </w:tcBorders>
            <w:shd w:val="clear" w:color="auto" w:fill="auto"/>
            <w:noWrap/>
            <w:vAlign w:val="bottom"/>
            <w:hideMark/>
          </w:tcPr>
          <w:p w14:paraId="601869B1" w14:textId="259CE4C9" w:rsidR="00701071" w:rsidRPr="00701071" w:rsidRDefault="00C82845" w:rsidP="0035476B">
            <w:pPr>
              <w:pStyle w:val="ESVTablebody"/>
              <w:rPr>
                <w:b/>
                <w:lang w:eastAsia="en-AU"/>
              </w:rPr>
            </w:pPr>
            <w:r>
              <w:rPr>
                <w:b/>
                <w:lang w:eastAsia="en-AU"/>
              </w:rPr>
              <w:t>70</w:t>
            </w:r>
          </w:p>
        </w:tc>
        <w:tc>
          <w:tcPr>
            <w:tcW w:w="1249" w:type="pct"/>
            <w:tcBorders>
              <w:top w:val="nil"/>
              <w:left w:val="nil"/>
              <w:bottom w:val="single" w:sz="8" w:space="0" w:color="auto"/>
              <w:right w:val="nil"/>
            </w:tcBorders>
            <w:shd w:val="clear" w:color="auto" w:fill="auto"/>
            <w:noWrap/>
            <w:vAlign w:val="bottom"/>
            <w:hideMark/>
          </w:tcPr>
          <w:p w14:paraId="239B8B70" w14:textId="0F01C3B8" w:rsidR="00701071" w:rsidRPr="00701071" w:rsidRDefault="00C82845" w:rsidP="0035476B">
            <w:pPr>
              <w:pStyle w:val="ESVTablebody"/>
              <w:rPr>
                <w:b/>
                <w:lang w:eastAsia="en-AU"/>
              </w:rPr>
            </w:pPr>
            <w:r>
              <w:rPr>
                <w:b/>
                <w:lang w:eastAsia="en-AU"/>
              </w:rPr>
              <w:t>70</w:t>
            </w:r>
          </w:p>
        </w:tc>
      </w:tr>
    </w:tbl>
    <w:p w14:paraId="553268F4" w14:textId="77777777" w:rsidR="005C01BB" w:rsidRPr="00EC037F" w:rsidRDefault="005C01BB" w:rsidP="005C01BB">
      <w:pPr>
        <w:pStyle w:val="ESVBody"/>
        <w:rPr>
          <w:b/>
          <w:u w:val="single"/>
        </w:rPr>
      </w:pPr>
      <w:r w:rsidRPr="00EC037F">
        <w:rPr>
          <w:b/>
          <w:u w:val="single"/>
        </w:rPr>
        <w:t>Notes:</w:t>
      </w:r>
    </w:p>
    <w:p w14:paraId="09F14657" w14:textId="51BE355F" w:rsidR="005C01BB" w:rsidRDefault="00694F84" w:rsidP="00F55EF6">
      <w:pPr>
        <w:pStyle w:val="ESVBody"/>
        <w:numPr>
          <w:ilvl w:val="0"/>
          <w:numId w:val="27"/>
        </w:numPr>
      </w:pPr>
      <w:r>
        <w:t>Energy Safe</w:t>
      </w:r>
      <w:r w:rsidR="005C01BB">
        <w:t xml:space="preserve"> granted an exemption on 5 June 2020 to remove Powercor’s obligation to REFCL-protect Corio and Geelong on the condition that it construct a new REFCL-protected substation at Gheringhap that will supply/protect the powerlines with risk formerly supplied from Corio and Geelong.</w:t>
      </w:r>
    </w:p>
    <w:p w14:paraId="6E229B79" w14:textId="58AE96BD" w:rsidR="00F321F3" w:rsidRPr="00057AFC" w:rsidRDefault="00062413" w:rsidP="00660470">
      <w:pPr>
        <w:pStyle w:val="ESVBody"/>
        <w:numPr>
          <w:ilvl w:val="0"/>
          <w:numId w:val="27"/>
        </w:numPr>
      </w:pPr>
      <w:r>
        <w:lastRenderedPageBreak/>
        <w:t xml:space="preserve">Due to growth of the </w:t>
      </w:r>
      <w:proofErr w:type="spellStart"/>
      <w:r>
        <w:t>Waurn</w:t>
      </w:r>
      <w:proofErr w:type="spellEnd"/>
      <w:r>
        <w:t xml:space="preserve"> Ponds network</w:t>
      </w:r>
      <w:r w:rsidR="00696C01">
        <w:t>,</w:t>
      </w:r>
      <w:r>
        <w:t xml:space="preserve"> </w:t>
      </w:r>
      <w:proofErr w:type="spellStart"/>
      <w:r>
        <w:t>Powercor</w:t>
      </w:r>
      <w:proofErr w:type="spellEnd"/>
      <w:r>
        <w:t xml:space="preserve"> </w:t>
      </w:r>
      <w:r w:rsidR="00822189">
        <w:t xml:space="preserve">has </w:t>
      </w:r>
      <w:r>
        <w:t>split the network and suppl</w:t>
      </w:r>
      <w:r w:rsidR="00822189">
        <w:t xml:space="preserve">ies </w:t>
      </w:r>
      <w:r>
        <w:t xml:space="preserve">part </w:t>
      </w:r>
      <w:r w:rsidR="00822189">
        <w:t xml:space="preserve">of the former </w:t>
      </w:r>
      <w:proofErr w:type="spellStart"/>
      <w:r w:rsidR="00822189">
        <w:t>Waurn</w:t>
      </w:r>
      <w:proofErr w:type="spellEnd"/>
      <w:r w:rsidR="00822189">
        <w:t xml:space="preserve"> Ponds network </w:t>
      </w:r>
      <w:r>
        <w:t>from a new REFCL-protected substation in Torquay. An exemption is not necessary.</w:t>
      </w:r>
      <w:r w:rsidR="00F321F3">
        <w:br w:type="page"/>
      </w:r>
    </w:p>
    <w:p w14:paraId="40B355BC" w14:textId="77777777" w:rsidR="00F321F3" w:rsidRDefault="00F321F3" w:rsidP="00F321F3">
      <w:pPr>
        <w:pStyle w:val="Heading2"/>
      </w:pPr>
      <w:r>
        <w:lastRenderedPageBreak/>
        <w:t>Exemptions and Time Extensions</w:t>
      </w:r>
    </w:p>
    <w:tbl>
      <w:tblPr>
        <w:tblStyle w:val="ESVTablegrid"/>
        <w:tblW w:w="5000" w:type="pct"/>
        <w:tblInd w:w="0" w:type="dxa"/>
        <w:tblLook w:val="04A0" w:firstRow="1" w:lastRow="0" w:firstColumn="1" w:lastColumn="0" w:noHBand="0" w:noVBand="1"/>
      </w:tblPr>
      <w:tblGrid>
        <w:gridCol w:w="1217"/>
        <w:gridCol w:w="1128"/>
        <w:gridCol w:w="4023"/>
        <w:gridCol w:w="3260"/>
      </w:tblGrid>
      <w:tr w:rsidR="006E27AE" w:rsidRPr="00F321F3" w14:paraId="61E10392" w14:textId="77777777" w:rsidTr="008611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2" w:type="pct"/>
            <w:hideMark/>
          </w:tcPr>
          <w:p w14:paraId="3AECF2FA" w14:textId="77777777" w:rsidR="00F321F3" w:rsidRPr="00F321F3" w:rsidRDefault="00F321F3" w:rsidP="00F321F3">
            <w:pPr>
              <w:pStyle w:val="ESVTablecolrowhead"/>
              <w:rPr>
                <w:lang w:eastAsia="en-AU"/>
              </w:rPr>
            </w:pPr>
            <w:r w:rsidRPr="00F321F3">
              <w:rPr>
                <w:lang w:eastAsia="en-AU"/>
              </w:rPr>
              <w:t>Date Granted</w:t>
            </w:r>
          </w:p>
        </w:tc>
        <w:tc>
          <w:tcPr>
            <w:tcW w:w="586" w:type="pct"/>
            <w:hideMark/>
          </w:tcPr>
          <w:p w14:paraId="2F3226F4" w14:textId="77777777" w:rsidR="00F321F3" w:rsidRPr="00F321F3" w:rsidRDefault="00F321F3" w:rsidP="00F321F3">
            <w:pPr>
              <w:pStyle w:val="ESVTablecolrowhead"/>
              <w:cnfStyle w:val="100000000000" w:firstRow="1" w:lastRow="0" w:firstColumn="0" w:lastColumn="0" w:oddVBand="0" w:evenVBand="0" w:oddHBand="0" w:evenHBand="0" w:firstRowFirstColumn="0" w:firstRowLastColumn="0" w:lastRowFirstColumn="0" w:lastRowLastColumn="0"/>
              <w:rPr>
                <w:lang w:eastAsia="en-AU"/>
              </w:rPr>
            </w:pPr>
            <w:r w:rsidRPr="00F321F3">
              <w:rPr>
                <w:lang w:eastAsia="en-AU"/>
              </w:rPr>
              <w:t>Company</w:t>
            </w:r>
          </w:p>
        </w:tc>
        <w:tc>
          <w:tcPr>
            <w:tcW w:w="2089" w:type="pct"/>
            <w:hideMark/>
          </w:tcPr>
          <w:p w14:paraId="320D3915" w14:textId="77777777" w:rsidR="00F321F3" w:rsidRPr="00F321F3" w:rsidRDefault="00F321F3" w:rsidP="00F321F3">
            <w:pPr>
              <w:pStyle w:val="ESVTablecolrowhead"/>
              <w:cnfStyle w:val="100000000000" w:firstRow="1" w:lastRow="0" w:firstColumn="0" w:lastColumn="0" w:oddVBand="0" w:evenVBand="0" w:oddHBand="0" w:evenHBand="0" w:firstRowFirstColumn="0" w:firstRowLastColumn="0" w:lastRowFirstColumn="0" w:lastRowLastColumn="0"/>
              <w:rPr>
                <w:lang w:eastAsia="en-AU"/>
              </w:rPr>
            </w:pPr>
            <w:r w:rsidRPr="00F321F3">
              <w:rPr>
                <w:lang w:eastAsia="en-AU"/>
              </w:rPr>
              <w:t>Details</w:t>
            </w:r>
          </w:p>
        </w:tc>
        <w:tc>
          <w:tcPr>
            <w:tcW w:w="1693" w:type="pct"/>
            <w:hideMark/>
          </w:tcPr>
          <w:p w14:paraId="40539752" w14:textId="77777777" w:rsidR="00F321F3" w:rsidRPr="00F321F3" w:rsidRDefault="00F321F3" w:rsidP="00F321F3">
            <w:pPr>
              <w:pStyle w:val="ESVTablecolrowhead"/>
              <w:cnfStyle w:val="100000000000" w:firstRow="1" w:lastRow="0" w:firstColumn="0" w:lastColumn="0" w:oddVBand="0" w:evenVBand="0" w:oddHBand="0" w:evenHBand="0" w:firstRowFirstColumn="0" w:firstRowLastColumn="0" w:lastRowFirstColumn="0" w:lastRowLastColumn="0"/>
              <w:rPr>
                <w:lang w:eastAsia="en-AU"/>
              </w:rPr>
            </w:pPr>
            <w:r w:rsidRPr="00F321F3">
              <w:rPr>
                <w:lang w:eastAsia="en-AU"/>
              </w:rPr>
              <w:t>Risk Assessment</w:t>
            </w:r>
          </w:p>
        </w:tc>
      </w:tr>
      <w:tr w:rsidR="00F321F3" w:rsidRPr="00F321F3" w14:paraId="52712BE1" w14:textId="77777777" w:rsidTr="00861128">
        <w:trPr>
          <w:trHeight w:val="1800"/>
        </w:trPr>
        <w:tc>
          <w:tcPr>
            <w:cnfStyle w:val="001000000000" w:firstRow="0" w:lastRow="0" w:firstColumn="1" w:lastColumn="0" w:oddVBand="0" w:evenVBand="0" w:oddHBand="0" w:evenHBand="0" w:firstRowFirstColumn="0" w:firstRowLastColumn="0" w:lastRowFirstColumn="0" w:lastRowLastColumn="0"/>
            <w:tcW w:w="632" w:type="pct"/>
            <w:noWrap/>
            <w:hideMark/>
          </w:tcPr>
          <w:p w14:paraId="1052EFA1" w14:textId="77777777" w:rsidR="00F321F3" w:rsidRPr="00F321F3" w:rsidRDefault="00F321F3" w:rsidP="00F321F3">
            <w:pPr>
              <w:pStyle w:val="ESVTablecolrowhead"/>
              <w:rPr>
                <w:lang w:eastAsia="en-AU"/>
              </w:rPr>
            </w:pPr>
            <w:r w:rsidRPr="00F321F3">
              <w:rPr>
                <w:lang w:eastAsia="en-AU"/>
              </w:rPr>
              <w:t>7/11/2018</w:t>
            </w:r>
          </w:p>
        </w:tc>
        <w:tc>
          <w:tcPr>
            <w:tcW w:w="586" w:type="pct"/>
            <w:hideMark/>
          </w:tcPr>
          <w:p w14:paraId="58BFA311" w14:textId="77777777" w:rsidR="00F321F3" w:rsidRPr="00F321F3" w:rsidRDefault="00F321F3"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F321F3">
              <w:rPr>
                <w:lang w:eastAsia="en-AU"/>
              </w:rPr>
              <w:t>AusNet Services &amp; Powercor</w:t>
            </w:r>
          </w:p>
        </w:tc>
        <w:tc>
          <w:tcPr>
            <w:tcW w:w="2089" w:type="pct"/>
            <w:hideMark/>
          </w:tcPr>
          <w:p w14:paraId="4ADFAA20" w14:textId="2037E329" w:rsidR="00F321F3" w:rsidRPr="00F321F3" w:rsidRDefault="00694F84"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Energy Safe </w:t>
            </w:r>
            <w:r w:rsidR="00F321F3" w:rsidRPr="00F321F3">
              <w:rPr>
                <w:lang w:eastAsia="en-AU"/>
              </w:rPr>
              <w:t>granted eight exemptions to AusNet Services and 15 exemptions to Powercor related to the isolation of incompatible high voltage customer installations from REFCL protection. This was required because a small section of powerline between the isolating transformer and the customer's point of supply would not be REFCL-protected.</w:t>
            </w:r>
          </w:p>
        </w:tc>
        <w:tc>
          <w:tcPr>
            <w:tcW w:w="1693" w:type="pct"/>
            <w:hideMark/>
          </w:tcPr>
          <w:p w14:paraId="018E7D7F" w14:textId="1B126F4B" w:rsidR="00F321F3" w:rsidRPr="00F321F3" w:rsidRDefault="00F321F3" w:rsidP="003E40F9">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F321F3">
              <w:rPr>
                <w:lang w:eastAsia="en-AU"/>
              </w:rPr>
              <w:t xml:space="preserve">The exemption related to very short sections of underground lines. </w:t>
            </w:r>
            <w:r w:rsidR="00694F84">
              <w:rPr>
                <w:lang w:eastAsia="en-AU"/>
              </w:rPr>
              <w:t>Energy Safe</w:t>
            </w:r>
            <w:r w:rsidRPr="00F321F3">
              <w:rPr>
                <w:lang w:eastAsia="en-AU"/>
              </w:rPr>
              <w:t xml:space="preserve"> determined the associated risk to be close to zero.</w:t>
            </w:r>
          </w:p>
        </w:tc>
      </w:tr>
      <w:tr w:rsidR="00F321F3" w:rsidRPr="00F321F3" w14:paraId="6E0F6F4C" w14:textId="77777777" w:rsidTr="00861128">
        <w:trPr>
          <w:trHeight w:val="1800"/>
        </w:trPr>
        <w:tc>
          <w:tcPr>
            <w:cnfStyle w:val="001000000000" w:firstRow="0" w:lastRow="0" w:firstColumn="1" w:lastColumn="0" w:oddVBand="0" w:evenVBand="0" w:oddHBand="0" w:evenHBand="0" w:firstRowFirstColumn="0" w:firstRowLastColumn="0" w:lastRowFirstColumn="0" w:lastRowLastColumn="0"/>
            <w:tcW w:w="632" w:type="pct"/>
            <w:noWrap/>
            <w:hideMark/>
          </w:tcPr>
          <w:p w14:paraId="5AAD402A" w14:textId="77777777" w:rsidR="00F321F3" w:rsidRPr="00F321F3" w:rsidRDefault="00F321F3" w:rsidP="00F321F3">
            <w:pPr>
              <w:pStyle w:val="ESVTablecolrowhead"/>
              <w:rPr>
                <w:lang w:eastAsia="en-AU"/>
              </w:rPr>
            </w:pPr>
            <w:r w:rsidRPr="00F321F3">
              <w:rPr>
                <w:lang w:eastAsia="en-AU"/>
              </w:rPr>
              <w:t>12/07/2019</w:t>
            </w:r>
          </w:p>
        </w:tc>
        <w:tc>
          <w:tcPr>
            <w:tcW w:w="586" w:type="pct"/>
            <w:hideMark/>
          </w:tcPr>
          <w:p w14:paraId="43836000" w14:textId="77777777" w:rsidR="00F321F3" w:rsidRPr="00F321F3" w:rsidRDefault="00F321F3"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F321F3">
              <w:rPr>
                <w:lang w:eastAsia="en-AU"/>
              </w:rPr>
              <w:t>AusNet Services</w:t>
            </w:r>
          </w:p>
        </w:tc>
        <w:tc>
          <w:tcPr>
            <w:tcW w:w="2089" w:type="pct"/>
            <w:hideMark/>
          </w:tcPr>
          <w:p w14:paraId="2206CA8D" w14:textId="2D444A18" w:rsidR="00F321F3" w:rsidRPr="00F321F3" w:rsidRDefault="00694F84"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Energy Safe</w:t>
            </w:r>
            <w:r w:rsidR="00F321F3" w:rsidRPr="00F321F3">
              <w:rPr>
                <w:lang w:eastAsia="en-AU"/>
              </w:rPr>
              <w:t xml:space="preserve"> granted a time extension up to 1 November 2019 to allow AusNet Services to resolve unique technical challenges at Woori Yallock and Kinglake. Following further investigation AusNet Services submitted a detailed plan to achieve compliance on 26/07/2019 that showed additional time would be required to implement the necessary network changes.</w:t>
            </w:r>
          </w:p>
        </w:tc>
        <w:tc>
          <w:tcPr>
            <w:tcW w:w="1693" w:type="pct"/>
            <w:vMerge w:val="restart"/>
            <w:vAlign w:val="center"/>
            <w:hideMark/>
          </w:tcPr>
          <w:p w14:paraId="799541EF" w14:textId="77777777" w:rsidR="00F321F3" w:rsidRPr="00F321F3" w:rsidRDefault="00F321F3" w:rsidP="003E40F9">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F321F3">
              <w:rPr>
                <w:lang w:eastAsia="en-AU"/>
              </w:rPr>
              <w:t>Over this period Kinglake and Woori Yallock REFCLs were available for service on high risk days, so the risk was appropriately managed. However this temporary relief ultimately allowed AusNet Services to achieve full compliance at these sites and achieve the full bushfire mitigation benefit for the local communities.</w:t>
            </w:r>
          </w:p>
        </w:tc>
      </w:tr>
      <w:tr w:rsidR="00F321F3" w:rsidRPr="00F321F3" w14:paraId="784AB718" w14:textId="77777777" w:rsidTr="00861128">
        <w:trPr>
          <w:trHeight w:val="1500"/>
        </w:trPr>
        <w:tc>
          <w:tcPr>
            <w:cnfStyle w:val="001000000000" w:firstRow="0" w:lastRow="0" w:firstColumn="1" w:lastColumn="0" w:oddVBand="0" w:evenVBand="0" w:oddHBand="0" w:evenHBand="0" w:firstRowFirstColumn="0" w:firstRowLastColumn="0" w:lastRowFirstColumn="0" w:lastRowLastColumn="0"/>
            <w:tcW w:w="632" w:type="pct"/>
            <w:noWrap/>
            <w:hideMark/>
          </w:tcPr>
          <w:p w14:paraId="612DB204" w14:textId="77777777" w:rsidR="00F321F3" w:rsidRPr="00F321F3" w:rsidRDefault="00F321F3" w:rsidP="00F321F3">
            <w:pPr>
              <w:pStyle w:val="ESVTablecolrowhead"/>
              <w:rPr>
                <w:lang w:eastAsia="en-AU"/>
              </w:rPr>
            </w:pPr>
            <w:r w:rsidRPr="00F321F3">
              <w:rPr>
                <w:lang w:eastAsia="en-AU"/>
              </w:rPr>
              <w:t>21/11/2019</w:t>
            </w:r>
          </w:p>
        </w:tc>
        <w:tc>
          <w:tcPr>
            <w:tcW w:w="586" w:type="pct"/>
            <w:hideMark/>
          </w:tcPr>
          <w:p w14:paraId="31132396" w14:textId="77777777" w:rsidR="00F321F3" w:rsidRPr="00F321F3" w:rsidRDefault="00F321F3"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F321F3">
              <w:rPr>
                <w:lang w:eastAsia="en-AU"/>
              </w:rPr>
              <w:t>AusNet Services</w:t>
            </w:r>
          </w:p>
        </w:tc>
        <w:tc>
          <w:tcPr>
            <w:tcW w:w="2089" w:type="pct"/>
            <w:hideMark/>
          </w:tcPr>
          <w:p w14:paraId="46490D0E" w14:textId="2FDB36E3" w:rsidR="00F321F3" w:rsidRPr="00F321F3" w:rsidRDefault="00694F84"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Energy Safe</w:t>
            </w:r>
            <w:r w:rsidR="00F321F3" w:rsidRPr="00F321F3">
              <w:rPr>
                <w:lang w:eastAsia="en-AU"/>
              </w:rPr>
              <w:t xml:space="preserve"> extended the previous time extension for the delivery of Kinglake and Woori Yallock to 29 April 2021 and 1 November 2020 respectively. AusNet Services has complied with the time extension and compliance has been achieved at Woori Yallock and Kinglake.</w:t>
            </w:r>
          </w:p>
        </w:tc>
        <w:tc>
          <w:tcPr>
            <w:tcW w:w="1693" w:type="pct"/>
            <w:vMerge/>
            <w:hideMark/>
          </w:tcPr>
          <w:p w14:paraId="7B86AA93" w14:textId="77777777" w:rsidR="00F321F3" w:rsidRPr="00F321F3" w:rsidRDefault="00F321F3"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p>
        </w:tc>
      </w:tr>
      <w:tr w:rsidR="00F321F3" w:rsidRPr="00F321F3" w14:paraId="31A22FD0" w14:textId="77777777" w:rsidTr="00861128">
        <w:trPr>
          <w:trHeight w:val="2400"/>
        </w:trPr>
        <w:tc>
          <w:tcPr>
            <w:cnfStyle w:val="001000000000" w:firstRow="0" w:lastRow="0" w:firstColumn="1" w:lastColumn="0" w:oddVBand="0" w:evenVBand="0" w:oddHBand="0" w:evenHBand="0" w:firstRowFirstColumn="0" w:firstRowLastColumn="0" w:lastRowFirstColumn="0" w:lastRowLastColumn="0"/>
            <w:tcW w:w="632" w:type="pct"/>
            <w:noWrap/>
            <w:hideMark/>
          </w:tcPr>
          <w:p w14:paraId="655F10EC" w14:textId="77777777" w:rsidR="00F321F3" w:rsidRPr="00F321F3" w:rsidRDefault="00F321F3" w:rsidP="00F321F3">
            <w:pPr>
              <w:pStyle w:val="ESVTablecolrowhead"/>
              <w:rPr>
                <w:lang w:eastAsia="en-AU"/>
              </w:rPr>
            </w:pPr>
            <w:r w:rsidRPr="00F321F3">
              <w:rPr>
                <w:lang w:eastAsia="en-AU"/>
              </w:rPr>
              <w:t>5/06/2020</w:t>
            </w:r>
          </w:p>
        </w:tc>
        <w:tc>
          <w:tcPr>
            <w:tcW w:w="586" w:type="pct"/>
            <w:hideMark/>
          </w:tcPr>
          <w:p w14:paraId="0B191BA8" w14:textId="77777777" w:rsidR="00F321F3" w:rsidRPr="00F321F3" w:rsidRDefault="00F321F3"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F321F3">
              <w:rPr>
                <w:lang w:eastAsia="en-AU"/>
              </w:rPr>
              <w:t>Powercor</w:t>
            </w:r>
          </w:p>
        </w:tc>
        <w:tc>
          <w:tcPr>
            <w:tcW w:w="2089" w:type="pct"/>
            <w:hideMark/>
          </w:tcPr>
          <w:p w14:paraId="5D46C16A" w14:textId="07D576D6" w:rsidR="00F321F3" w:rsidRPr="00F321F3" w:rsidRDefault="00694F84" w:rsidP="0093123F">
            <w:pPr>
              <w:pStyle w:val="ESV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Energy Safe</w:t>
            </w:r>
            <w:r w:rsidR="00F321F3" w:rsidRPr="00F321F3">
              <w:rPr>
                <w:lang w:eastAsia="en-AU"/>
              </w:rPr>
              <w:t xml:space="preserve"> granted an exemption for the powerlines supplied from Corio and Geelong zone substation that are located within the city of Geelong from being REFCL protected. The remaining powerlines with bushfire ignition risk will be supplied from a new REFCL-protected zone substation at Gheringhap by 1 May 2023. Any new powerlines supplied from Corio or Geelong and in a hazardous bushfire risk area must be covered or underground.</w:t>
            </w:r>
          </w:p>
        </w:tc>
        <w:tc>
          <w:tcPr>
            <w:tcW w:w="1693" w:type="pct"/>
            <w:hideMark/>
          </w:tcPr>
          <w:p w14:paraId="7E76E0FC" w14:textId="233CB773" w:rsidR="00F321F3" w:rsidRPr="00F321F3" w:rsidRDefault="00F321F3"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F321F3">
              <w:rPr>
                <w:lang w:eastAsia="en-AU"/>
              </w:rPr>
              <w:t xml:space="preserve">The exempt powerlines are located in an urban area within the city of Geelong and thus do not pose a bushfire ignition risk. The remaining powerlines with risk will be REFCL protected as intended by the legislation. </w:t>
            </w:r>
            <w:r w:rsidR="00694F84">
              <w:rPr>
                <w:lang w:eastAsia="en-AU"/>
              </w:rPr>
              <w:t>Energy Safe</w:t>
            </w:r>
            <w:r w:rsidRPr="00F321F3">
              <w:rPr>
                <w:lang w:eastAsia="en-AU"/>
              </w:rPr>
              <w:t xml:space="preserve"> found that this exemption delivered an equivalent safety outcome to strict compliance.</w:t>
            </w:r>
          </w:p>
        </w:tc>
      </w:tr>
      <w:tr w:rsidR="006E27AE" w:rsidRPr="00F321F3" w14:paraId="778821B0" w14:textId="77777777" w:rsidTr="00861128">
        <w:trPr>
          <w:trHeight w:val="2400"/>
        </w:trPr>
        <w:tc>
          <w:tcPr>
            <w:cnfStyle w:val="001000000000" w:firstRow="0" w:lastRow="0" w:firstColumn="1" w:lastColumn="0" w:oddVBand="0" w:evenVBand="0" w:oddHBand="0" w:evenHBand="0" w:firstRowFirstColumn="0" w:firstRowLastColumn="0" w:lastRowFirstColumn="0" w:lastRowLastColumn="0"/>
            <w:tcW w:w="632" w:type="pct"/>
            <w:noWrap/>
            <w:hideMark/>
          </w:tcPr>
          <w:p w14:paraId="3611199A" w14:textId="77777777" w:rsidR="006E27AE" w:rsidRPr="00F321F3" w:rsidRDefault="006E27AE" w:rsidP="005313B2">
            <w:pPr>
              <w:pStyle w:val="ESVTablecolrowhead"/>
              <w:rPr>
                <w:lang w:eastAsia="en-AU"/>
              </w:rPr>
            </w:pPr>
            <w:r w:rsidRPr="00F321F3">
              <w:rPr>
                <w:lang w:eastAsia="en-AU"/>
              </w:rPr>
              <w:t>12/10/2020</w:t>
            </w:r>
          </w:p>
        </w:tc>
        <w:tc>
          <w:tcPr>
            <w:tcW w:w="586" w:type="pct"/>
            <w:hideMark/>
          </w:tcPr>
          <w:p w14:paraId="490FF705" w14:textId="77777777" w:rsidR="006E27AE" w:rsidRPr="00F321F3" w:rsidRDefault="006E27AE" w:rsidP="005313B2">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F321F3">
              <w:rPr>
                <w:lang w:eastAsia="en-AU"/>
              </w:rPr>
              <w:t>AusNet Services, Jemena and Powercor</w:t>
            </w:r>
          </w:p>
        </w:tc>
        <w:tc>
          <w:tcPr>
            <w:tcW w:w="2089" w:type="pct"/>
            <w:hideMark/>
          </w:tcPr>
          <w:p w14:paraId="04845F00" w14:textId="6B568A18" w:rsidR="006E27AE" w:rsidRPr="00F321F3" w:rsidRDefault="00694F84" w:rsidP="005313B2">
            <w:pPr>
              <w:pStyle w:val="ESV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Energy Safe</w:t>
            </w:r>
            <w:r w:rsidR="006E27AE" w:rsidRPr="00F321F3">
              <w:rPr>
                <w:lang w:eastAsia="en-AU"/>
              </w:rPr>
              <w:t xml:space="preserve"> granted general exemptions from the requirement to REFCL-protect underground cable. As the proportion of underground cable increases on a network it becomes challenging to achieve the 'required capacity' performance standard associated with REFCL technology. Since REFCL protection is unlikely to provide any bushfire mitigation benefit for underground cable the most cost effective solution in many cases is to isolate these network sections.</w:t>
            </w:r>
          </w:p>
        </w:tc>
        <w:tc>
          <w:tcPr>
            <w:tcW w:w="1693" w:type="pct"/>
            <w:hideMark/>
          </w:tcPr>
          <w:p w14:paraId="653D30DB" w14:textId="77777777" w:rsidR="006E27AE" w:rsidRPr="00F321F3" w:rsidRDefault="006E27AE" w:rsidP="005313B2">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F321F3">
              <w:rPr>
                <w:lang w:eastAsia="en-AU"/>
              </w:rPr>
              <w:t>This blanket exemption delivers significant savings to Victorian electricity customers without affecting bushfire safety.</w:t>
            </w:r>
          </w:p>
        </w:tc>
      </w:tr>
      <w:tr w:rsidR="00F321F3" w:rsidRPr="00F321F3" w14:paraId="47F6CF0E" w14:textId="77777777" w:rsidTr="00861128">
        <w:trPr>
          <w:trHeight w:val="2100"/>
        </w:trPr>
        <w:tc>
          <w:tcPr>
            <w:cnfStyle w:val="001000000000" w:firstRow="0" w:lastRow="0" w:firstColumn="1" w:lastColumn="0" w:oddVBand="0" w:evenVBand="0" w:oddHBand="0" w:evenHBand="0" w:firstRowFirstColumn="0" w:firstRowLastColumn="0" w:lastRowFirstColumn="0" w:lastRowLastColumn="0"/>
            <w:tcW w:w="632" w:type="pct"/>
            <w:noWrap/>
            <w:hideMark/>
          </w:tcPr>
          <w:p w14:paraId="3C815EDD" w14:textId="77777777" w:rsidR="00F321F3" w:rsidRPr="00F321F3" w:rsidRDefault="00F321F3" w:rsidP="00F321F3">
            <w:pPr>
              <w:pStyle w:val="ESVTablecolrowhead"/>
              <w:rPr>
                <w:lang w:eastAsia="en-AU"/>
              </w:rPr>
            </w:pPr>
            <w:r w:rsidRPr="00F321F3">
              <w:rPr>
                <w:lang w:eastAsia="en-AU"/>
              </w:rPr>
              <w:lastRenderedPageBreak/>
              <w:t>2/12/2020</w:t>
            </w:r>
          </w:p>
        </w:tc>
        <w:tc>
          <w:tcPr>
            <w:tcW w:w="586" w:type="pct"/>
            <w:hideMark/>
          </w:tcPr>
          <w:p w14:paraId="4A211CED" w14:textId="77777777" w:rsidR="00F321F3" w:rsidRPr="00F321F3" w:rsidRDefault="00F321F3"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F321F3">
              <w:rPr>
                <w:lang w:eastAsia="en-AU"/>
              </w:rPr>
              <w:t>Jemena</w:t>
            </w:r>
          </w:p>
        </w:tc>
        <w:tc>
          <w:tcPr>
            <w:tcW w:w="2089" w:type="pct"/>
            <w:hideMark/>
          </w:tcPr>
          <w:p w14:paraId="735F855D" w14:textId="71FCBA52" w:rsidR="00F321F3" w:rsidRPr="00F321F3" w:rsidRDefault="00694F84"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Energy Safe</w:t>
            </w:r>
            <w:r w:rsidR="00F321F3" w:rsidRPr="00F321F3">
              <w:rPr>
                <w:lang w:eastAsia="en-AU"/>
              </w:rPr>
              <w:t xml:space="preserve"> granted an exemption for the powerlines supplied from Coolaroo zone substation that are located within the city of Melbourne from being REFCL protected. The remaining powerlines with bushfire ignition risk will be REFCL-protected by 1 May 2023. Any new powerlines supplied from Coolaroo and in a hazardous bushfire risk area must be covered or underground.</w:t>
            </w:r>
          </w:p>
        </w:tc>
        <w:tc>
          <w:tcPr>
            <w:tcW w:w="1693" w:type="pct"/>
            <w:hideMark/>
          </w:tcPr>
          <w:p w14:paraId="328C35C0" w14:textId="0784C285" w:rsidR="00F321F3" w:rsidRPr="00F321F3" w:rsidRDefault="00F321F3"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F321F3">
              <w:rPr>
                <w:lang w:eastAsia="en-AU"/>
              </w:rPr>
              <w:t xml:space="preserve">The exempt powerlines are located in an urban area within the city of Melbourne and thus do not pose a bushfire ignition risk. The remaining powerlines with risk will be REFCL protected as intended by the legislation. </w:t>
            </w:r>
            <w:r w:rsidR="00694F84">
              <w:rPr>
                <w:lang w:eastAsia="en-AU"/>
              </w:rPr>
              <w:t>Energy Safe</w:t>
            </w:r>
            <w:r w:rsidRPr="00F321F3">
              <w:rPr>
                <w:lang w:eastAsia="en-AU"/>
              </w:rPr>
              <w:t xml:space="preserve"> found that this exemption delivered an equivalent safety outcome to strict compliance.</w:t>
            </w:r>
          </w:p>
        </w:tc>
      </w:tr>
      <w:tr w:rsidR="00F321F3" w:rsidRPr="00F321F3" w14:paraId="4AE502D9" w14:textId="77777777" w:rsidTr="00861128">
        <w:trPr>
          <w:trHeight w:val="3000"/>
        </w:trPr>
        <w:tc>
          <w:tcPr>
            <w:cnfStyle w:val="001000000000" w:firstRow="0" w:lastRow="0" w:firstColumn="1" w:lastColumn="0" w:oddVBand="0" w:evenVBand="0" w:oddHBand="0" w:evenHBand="0" w:firstRowFirstColumn="0" w:firstRowLastColumn="0" w:lastRowFirstColumn="0" w:lastRowLastColumn="0"/>
            <w:tcW w:w="632" w:type="pct"/>
            <w:noWrap/>
            <w:hideMark/>
          </w:tcPr>
          <w:p w14:paraId="627230CA" w14:textId="77777777" w:rsidR="00F321F3" w:rsidRPr="00F321F3" w:rsidRDefault="00F321F3" w:rsidP="00F321F3">
            <w:pPr>
              <w:pStyle w:val="ESVTablecolrowhead"/>
              <w:rPr>
                <w:lang w:eastAsia="en-AU"/>
              </w:rPr>
            </w:pPr>
            <w:r w:rsidRPr="00F321F3">
              <w:rPr>
                <w:lang w:eastAsia="en-AU"/>
              </w:rPr>
              <w:t>27/04/2021</w:t>
            </w:r>
          </w:p>
        </w:tc>
        <w:tc>
          <w:tcPr>
            <w:tcW w:w="586" w:type="pct"/>
            <w:hideMark/>
          </w:tcPr>
          <w:p w14:paraId="51C69404" w14:textId="77777777" w:rsidR="00F321F3" w:rsidRPr="00F321F3" w:rsidRDefault="00F321F3"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F321F3">
              <w:rPr>
                <w:lang w:eastAsia="en-AU"/>
              </w:rPr>
              <w:t>AusNet Services</w:t>
            </w:r>
          </w:p>
        </w:tc>
        <w:tc>
          <w:tcPr>
            <w:tcW w:w="2089" w:type="pct"/>
            <w:hideMark/>
          </w:tcPr>
          <w:p w14:paraId="4A29471A" w14:textId="0B271CFF" w:rsidR="00F321F3" w:rsidRPr="00F321F3" w:rsidRDefault="00694F84" w:rsidP="00F321F3">
            <w:pPr>
              <w:pStyle w:val="ESV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Energy Safe</w:t>
            </w:r>
            <w:r w:rsidR="00F321F3" w:rsidRPr="00F321F3">
              <w:rPr>
                <w:lang w:eastAsia="en-AU"/>
              </w:rPr>
              <w:t xml:space="preserve"> granted a time extension in relation to REFCL delivery at Belgrave, Lilydale and Eltham that supply railway sites. The railway sites will not be REFCL-compatible in accordance with the regulatory deadline and is beyond AusNet Services' control. The time extension also relates to Wodonga, where a new technical issue has been encountered that is making compliance difficult to achieve. The time extension delays delivery of these sites from 1 May 2021 to 1 November 2022 and covers one bushfire season.</w:t>
            </w:r>
          </w:p>
        </w:tc>
        <w:tc>
          <w:tcPr>
            <w:tcW w:w="1693" w:type="pct"/>
            <w:hideMark/>
          </w:tcPr>
          <w:p w14:paraId="2C998EA2" w14:textId="5F45D2B1" w:rsidR="00D87888" w:rsidRDefault="00D87888" w:rsidP="002F1CCC">
            <w:pPr>
              <w:pStyle w:val="ESV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A</w:t>
            </w:r>
            <w:r w:rsidRPr="002F1CCC">
              <w:rPr>
                <w:lang w:eastAsia="en-AU"/>
              </w:rPr>
              <w:t xml:space="preserve">usNet Services adjusted </w:t>
            </w:r>
            <w:r w:rsidR="002C2973">
              <w:rPr>
                <w:lang w:eastAsia="en-AU"/>
              </w:rPr>
              <w:t>its</w:t>
            </w:r>
            <w:r w:rsidR="002C2973" w:rsidRPr="002F1CCC">
              <w:rPr>
                <w:lang w:eastAsia="en-AU"/>
              </w:rPr>
              <w:t xml:space="preserve"> </w:t>
            </w:r>
            <w:r w:rsidRPr="002F1CCC">
              <w:rPr>
                <w:lang w:eastAsia="en-AU"/>
              </w:rPr>
              <w:t xml:space="preserve">delivery program to move some sites from tranche 2 to tranche 3 and vice versa to ensure REFCLs were brought online as soon as practicable to provide bushfire risk reduction and </w:t>
            </w:r>
            <w:r w:rsidR="00694034" w:rsidRPr="002F1CCC">
              <w:rPr>
                <w:lang w:eastAsia="en-AU"/>
              </w:rPr>
              <w:t xml:space="preserve">to </w:t>
            </w:r>
            <w:r w:rsidRPr="002F1CCC">
              <w:rPr>
                <w:lang w:eastAsia="en-AU"/>
              </w:rPr>
              <w:t xml:space="preserve">meet compliance requirements. </w:t>
            </w:r>
          </w:p>
          <w:p w14:paraId="1A019CB1" w14:textId="77777777" w:rsidR="00F321F3" w:rsidRPr="00F321F3" w:rsidRDefault="00F321F3" w:rsidP="002F1CCC">
            <w:pPr>
              <w:pStyle w:val="ESVTablebody"/>
              <w:cnfStyle w:val="000000000000" w:firstRow="0" w:lastRow="0" w:firstColumn="0" w:lastColumn="0" w:oddVBand="0" w:evenVBand="0" w:oddHBand="0" w:evenHBand="0" w:firstRowFirstColumn="0" w:firstRowLastColumn="0" w:lastRowFirstColumn="0" w:lastRowLastColumn="0"/>
              <w:rPr>
                <w:lang w:eastAsia="en-AU"/>
              </w:rPr>
            </w:pPr>
          </w:p>
        </w:tc>
      </w:tr>
      <w:tr w:rsidR="00861128" w:rsidRPr="00F321F3" w14:paraId="44C79CEC" w14:textId="77777777" w:rsidTr="00861128">
        <w:trPr>
          <w:trHeight w:val="3000"/>
        </w:trPr>
        <w:tc>
          <w:tcPr>
            <w:cnfStyle w:val="001000000000" w:firstRow="0" w:lastRow="0" w:firstColumn="1" w:lastColumn="0" w:oddVBand="0" w:evenVBand="0" w:oddHBand="0" w:evenHBand="0" w:firstRowFirstColumn="0" w:firstRowLastColumn="0" w:lastRowFirstColumn="0" w:lastRowLastColumn="0"/>
            <w:tcW w:w="632" w:type="pct"/>
            <w:noWrap/>
          </w:tcPr>
          <w:p w14:paraId="1CF93D54" w14:textId="1F5A09DA" w:rsidR="00861128" w:rsidRPr="00F321F3" w:rsidRDefault="00861128" w:rsidP="00861128">
            <w:pPr>
              <w:pStyle w:val="ESVTablecolrowhead"/>
              <w:rPr>
                <w:lang w:eastAsia="en-AU"/>
              </w:rPr>
            </w:pPr>
            <w:r w:rsidRPr="00BE3F2D">
              <w:rPr>
                <w:lang w:eastAsia="en-AU"/>
              </w:rPr>
              <w:t>21/10/2022</w:t>
            </w:r>
          </w:p>
        </w:tc>
        <w:tc>
          <w:tcPr>
            <w:tcW w:w="586" w:type="pct"/>
          </w:tcPr>
          <w:p w14:paraId="20B28593" w14:textId="5C38C251" w:rsidR="00861128" w:rsidRPr="00F321F3" w:rsidRDefault="00861128" w:rsidP="00861128">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BE3F2D">
              <w:rPr>
                <w:lang w:eastAsia="en-AU"/>
              </w:rPr>
              <w:t xml:space="preserve">AusNet Services </w:t>
            </w:r>
          </w:p>
        </w:tc>
        <w:tc>
          <w:tcPr>
            <w:tcW w:w="2089" w:type="pct"/>
          </w:tcPr>
          <w:p w14:paraId="7BBB2BDF" w14:textId="76900A59" w:rsidR="00861128" w:rsidRPr="00F321F3" w:rsidRDefault="00694F84">
            <w:pPr>
              <w:pStyle w:val="ESV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Energy Safe</w:t>
            </w:r>
            <w:r w:rsidR="00861128" w:rsidRPr="00BE3F2D">
              <w:rPr>
                <w:lang w:eastAsia="en-AU"/>
              </w:rPr>
              <w:t xml:space="preserve"> granted an exemption for powerlines </w:t>
            </w:r>
            <w:r w:rsidR="00A36214">
              <w:rPr>
                <w:lang w:eastAsia="en-AU"/>
              </w:rPr>
              <w:t xml:space="preserve">originating </w:t>
            </w:r>
            <w:r w:rsidR="00861128" w:rsidRPr="00BE3F2D">
              <w:rPr>
                <w:lang w:eastAsia="en-AU"/>
              </w:rPr>
              <w:t xml:space="preserve">from Kalkallo zone substation. AusNet Services proposed an alternative arrangement using remote located REFCL's to provide REFCL protection to Kalkallo powerlines. The non-REFCL protected powerlines located between the Kalkallo substation and the remote REFCL's were replaced with covered conductor which provides a greater bushfire risk reduction </w:t>
            </w:r>
            <w:r w:rsidR="00A36214">
              <w:rPr>
                <w:lang w:eastAsia="en-AU"/>
              </w:rPr>
              <w:t>compared to R</w:t>
            </w:r>
            <w:r w:rsidR="00861128" w:rsidRPr="00BE3F2D">
              <w:rPr>
                <w:lang w:eastAsia="en-AU"/>
              </w:rPr>
              <w:t xml:space="preserve">EFCL protection. </w:t>
            </w:r>
          </w:p>
        </w:tc>
        <w:tc>
          <w:tcPr>
            <w:tcW w:w="1693" w:type="pct"/>
          </w:tcPr>
          <w:p w14:paraId="568EF130" w14:textId="36F63834" w:rsidR="00861128" w:rsidRDefault="00861128" w:rsidP="00861128">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BE3F2D">
              <w:rPr>
                <w:lang w:eastAsia="en-AU"/>
              </w:rPr>
              <w:t xml:space="preserve">This exemption delivers savings to Victorian electricity customers and provides for a greater reduction in bushfire risk associated with Kalkallo powerlines.  </w:t>
            </w:r>
          </w:p>
        </w:tc>
      </w:tr>
      <w:tr w:rsidR="00861128" w:rsidRPr="00F321F3" w14:paraId="2DFE46F0" w14:textId="77777777" w:rsidTr="00861128">
        <w:trPr>
          <w:trHeight w:val="3000"/>
        </w:trPr>
        <w:tc>
          <w:tcPr>
            <w:cnfStyle w:val="001000000000" w:firstRow="0" w:lastRow="0" w:firstColumn="1" w:lastColumn="0" w:oddVBand="0" w:evenVBand="0" w:oddHBand="0" w:evenHBand="0" w:firstRowFirstColumn="0" w:firstRowLastColumn="0" w:lastRowFirstColumn="0" w:lastRowLastColumn="0"/>
            <w:tcW w:w="632" w:type="pct"/>
            <w:noWrap/>
          </w:tcPr>
          <w:p w14:paraId="38DBE573" w14:textId="1ED6F0E5" w:rsidR="00861128" w:rsidRPr="00F321F3" w:rsidRDefault="00861128" w:rsidP="00861128">
            <w:pPr>
              <w:pStyle w:val="ESVTablecolrowhead"/>
              <w:rPr>
                <w:lang w:eastAsia="en-AU"/>
              </w:rPr>
            </w:pPr>
            <w:r w:rsidRPr="00BE3F2D">
              <w:rPr>
                <w:lang w:eastAsia="en-AU"/>
              </w:rPr>
              <w:t>27/04/2023</w:t>
            </w:r>
          </w:p>
        </w:tc>
        <w:tc>
          <w:tcPr>
            <w:tcW w:w="586" w:type="pct"/>
          </w:tcPr>
          <w:p w14:paraId="66FE2CD7" w14:textId="36E4380A" w:rsidR="00861128" w:rsidRPr="00F321F3" w:rsidRDefault="00861128" w:rsidP="00861128">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BE3F2D">
              <w:rPr>
                <w:lang w:eastAsia="en-AU"/>
              </w:rPr>
              <w:t>Jemena</w:t>
            </w:r>
          </w:p>
        </w:tc>
        <w:tc>
          <w:tcPr>
            <w:tcW w:w="2089" w:type="pct"/>
          </w:tcPr>
          <w:p w14:paraId="400B198F" w14:textId="0EE9DC84" w:rsidR="00861128" w:rsidRPr="00F321F3" w:rsidRDefault="00694F84">
            <w:pPr>
              <w:pStyle w:val="ESV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Energy Safe</w:t>
            </w:r>
            <w:r w:rsidR="00861128" w:rsidRPr="00BE3F2D">
              <w:rPr>
                <w:lang w:eastAsia="en-AU"/>
              </w:rPr>
              <w:t xml:space="preserve"> granted a revised exemption for powerlines </w:t>
            </w:r>
            <w:r w:rsidR="00A36214">
              <w:rPr>
                <w:lang w:eastAsia="en-AU"/>
              </w:rPr>
              <w:t xml:space="preserve">originating </w:t>
            </w:r>
            <w:r w:rsidR="00861128" w:rsidRPr="00BE3F2D">
              <w:rPr>
                <w:lang w:eastAsia="en-AU"/>
              </w:rPr>
              <w:t>from Coolaroo zone substation that are located within low bushfire risk areas from being REFCL protected. The remaining powerlines with bushfire ignition risk will be REFCL-protected. Any new powerlines supplied from Coolaroo and in a hazardous bushfire risk area must be covered</w:t>
            </w:r>
            <w:r w:rsidR="00A36214">
              <w:rPr>
                <w:lang w:eastAsia="en-AU"/>
              </w:rPr>
              <w:t xml:space="preserve">, </w:t>
            </w:r>
            <w:r w:rsidR="00861128" w:rsidRPr="00BE3F2D">
              <w:rPr>
                <w:lang w:eastAsia="en-AU"/>
              </w:rPr>
              <w:t>placed underground</w:t>
            </w:r>
            <w:r w:rsidR="00A36214">
              <w:rPr>
                <w:lang w:eastAsia="en-AU"/>
              </w:rPr>
              <w:t xml:space="preserve"> or be REFCL-protected</w:t>
            </w:r>
            <w:r w:rsidR="00861128" w:rsidRPr="00BE3F2D">
              <w:rPr>
                <w:lang w:eastAsia="en-AU"/>
              </w:rPr>
              <w:t>.</w:t>
            </w:r>
          </w:p>
        </w:tc>
        <w:tc>
          <w:tcPr>
            <w:tcW w:w="1693" w:type="pct"/>
          </w:tcPr>
          <w:p w14:paraId="04E05A8B" w14:textId="3CBD61E2" w:rsidR="00861128" w:rsidRDefault="00861128" w:rsidP="00861128">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BE3F2D">
              <w:rPr>
                <w:lang w:eastAsia="en-AU"/>
              </w:rPr>
              <w:t>The exempt powerlines are located in an urban area and thus do not pose a bushfire ignition risk. The remaining powerlines with</w:t>
            </w:r>
            <w:r w:rsidR="005D1708">
              <w:rPr>
                <w:lang w:eastAsia="en-AU"/>
              </w:rPr>
              <w:t xml:space="preserve"> ignition</w:t>
            </w:r>
            <w:r w:rsidRPr="00BE3F2D">
              <w:rPr>
                <w:lang w:eastAsia="en-AU"/>
              </w:rPr>
              <w:t xml:space="preserve"> risk will be REFCL protected as intended by the legislation. </w:t>
            </w:r>
            <w:r w:rsidR="00694F84">
              <w:rPr>
                <w:lang w:eastAsia="en-AU"/>
              </w:rPr>
              <w:t>Energy Safe</w:t>
            </w:r>
            <w:r w:rsidRPr="00BE3F2D">
              <w:rPr>
                <w:lang w:eastAsia="en-AU"/>
              </w:rPr>
              <w:t xml:space="preserve"> found that this exemption delivered an equivalent safety outcome </w:t>
            </w:r>
            <w:r w:rsidR="005D1708">
              <w:rPr>
                <w:lang w:eastAsia="en-AU"/>
              </w:rPr>
              <w:t xml:space="preserve">compared </w:t>
            </w:r>
            <w:r w:rsidRPr="00BE3F2D">
              <w:rPr>
                <w:lang w:eastAsia="en-AU"/>
              </w:rPr>
              <w:t>to strict compliance.</w:t>
            </w:r>
          </w:p>
        </w:tc>
      </w:tr>
      <w:tr w:rsidR="00861128" w:rsidRPr="00F321F3" w14:paraId="1960A9E9" w14:textId="77777777" w:rsidTr="00861128">
        <w:trPr>
          <w:trHeight w:val="3000"/>
        </w:trPr>
        <w:tc>
          <w:tcPr>
            <w:cnfStyle w:val="001000000000" w:firstRow="0" w:lastRow="0" w:firstColumn="1" w:lastColumn="0" w:oddVBand="0" w:evenVBand="0" w:oddHBand="0" w:evenHBand="0" w:firstRowFirstColumn="0" w:firstRowLastColumn="0" w:lastRowFirstColumn="0" w:lastRowLastColumn="0"/>
            <w:tcW w:w="632" w:type="pct"/>
            <w:noWrap/>
          </w:tcPr>
          <w:p w14:paraId="641E8D31" w14:textId="3322F437" w:rsidR="00861128" w:rsidRPr="00F321F3" w:rsidRDefault="00861128" w:rsidP="00861128">
            <w:pPr>
              <w:pStyle w:val="ESVTablecolrowhead"/>
              <w:rPr>
                <w:lang w:eastAsia="en-AU"/>
              </w:rPr>
            </w:pPr>
            <w:r w:rsidRPr="00BE3F2D">
              <w:rPr>
                <w:lang w:eastAsia="en-AU"/>
              </w:rPr>
              <w:lastRenderedPageBreak/>
              <w:t>27/04/2023</w:t>
            </w:r>
          </w:p>
        </w:tc>
        <w:tc>
          <w:tcPr>
            <w:tcW w:w="586" w:type="pct"/>
          </w:tcPr>
          <w:p w14:paraId="031B8312" w14:textId="5EFFB6B9" w:rsidR="00861128" w:rsidRPr="00F321F3" w:rsidRDefault="00861128" w:rsidP="00861128">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BE3F2D">
              <w:rPr>
                <w:lang w:eastAsia="en-AU"/>
              </w:rPr>
              <w:t xml:space="preserve">AusNet Services </w:t>
            </w:r>
          </w:p>
        </w:tc>
        <w:tc>
          <w:tcPr>
            <w:tcW w:w="2089" w:type="pct"/>
          </w:tcPr>
          <w:p w14:paraId="517FFD17" w14:textId="48610234" w:rsidR="00861128" w:rsidRPr="00F321F3" w:rsidRDefault="00694F84">
            <w:pPr>
              <w:pStyle w:val="ESV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Energy Safe</w:t>
            </w:r>
            <w:r w:rsidR="00861128" w:rsidRPr="00BE3F2D">
              <w:rPr>
                <w:lang w:eastAsia="en-AU"/>
              </w:rPr>
              <w:t xml:space="preserve"> granted an exemption to the requirement to REFCL</w:t>
            </w:r>
            <w:r w:rsidR="005D1708">
              <w:rPr>
                <w:lang w:eastAsia="en-AU"/>
              </w:rPr>
              <w:t xml:space="preserve"> </w:t>
            </w:r>
            <w:r w:rsidR="00861128" w:rsidRPr="00BE3F2D">
              <w:rPr>
                <w:lang w:eastAsia="en-AU"/>
              </w:rPr>
              <w:t xml:space="preserve">protect a section of </w:t>
            </w:r>
            <w:r w:rsidR="005D1708">
              <w:rPr>
                <w:lang w:eastAsia="en-AU"/>
              </w:rPr>
              <w:t>p</w:t>
            </w:r>
            <w:r w:rsidR="00861128" w:rsidRPr="00BE3F2D">
              <w:rPr>
                <w:lang w:eastAsia="en-AU"/>
              </w:rPr>
              <w:t xml:space="preserve">owerline </w:t>
            </w:r>
            <w:r w:rsidR="00C809C0">
              <w:rPr>
                <w:lang w:eastAsia="en-AU"/>
              </w:rPr>
              <w:t>originating</w:t>
            </w:r>
            <w:r w:rsidR="00861128" w:rsidRPr="00BE3F2D">
              <w:rPr>
                <w:lang w:eastAsia="en-AU"/>
              </w:rPr>
              <w:t xml:space="preserve"> from the Wodonga Terminal Station due to technical challenges associated with induced current from nearby transmission lines. </w:t>
            </w:r>
          </w:p>
        </w:tc>
        <w:tc>
          <w:tcPr>
            <w:tcW w:w="1693" w:type="pct"/>
          </w:tcPr>
          <w:p w14:paraId="361D3400" w14:textId="7FBE578B" w:rsidR="00861128" w:rsidRDefault="00861128">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BE3F2D">
              <w:rPr>
                <w:lang w:eastAsia="en-AU"/>
              </w:rPr>
              <w:t>By electrically isolating the exempt powerline</w:t>
            </w:r>
            <w:r w:rsidR="00C809C0">
              <w:rPr>
                <w:lang w:eastAsia="en-AU"/>
              </w:rPr>
              <w:t xml:space="preserve"> section</w:t>
            </w:r>
            <w:r w:rsidRPr="00BE3F2D">
              <w:rPr>
                <w:lang w:eastAsia="en-AU"/>
              </w:rPr>
              <w:t xml:space="preserve"> from the rest of the Wodonga Terminal Stations supply network, the non-exempt and highest bushfire risk parts of the network were able to be REFCL-protected and receive the maximum bushfire risk reduction benefits provided by REFCL. </w:t>
            </w:r>
          </w:p>
        </w:tc>
      </w:tr>
      <w:tr w:rsidR="00861128" w:rsidRPr="00F321F3" w14:paraId="4C3BD3AD" w14:textId="77777777" w:rsidTr="00861128">
        <w:trPr>
          <w:trHeight w:val="3000"/>
        </w:trPr>
        <w:tc>
          <w:tcPr>
            <w:cnfStyle w:val="001000000000" w:firstRow="0" w:lastRow="0" w:firstColumn="1" w:lastColumn="0" w:oddVBand="0" w:evenVBand="0" w:oddHBand="0" w:evenHBand="0" w:firstRowFirstColumn="0" w:firstRowLastColumn="0" w:lastRowFirstColumn="0" w:lastRowLastColumn="0"/>
            <w:tcW w:w="632" w:type="pct"/>
            <w:noWrap/>
          </w:tcPr>
          <w:p w14:paraId="2C63152E" w14:textId="41B8A8EA" w:rsidR="00861128" w:rsidRPr="00F321F3" w:rsidRDefault="00861128" w:rsidP="00861128">
            <w:pPr>
              <w:pStyle w:val="ESVTablecolrowhead"/>
              <w:rPr>
                <w:lang w:eastAsia="en-AU"/>
              </w:rPr>
            </w:pPr>
            <w:r w:rsidRPr="00BE3F2D">
              <w:rPr>
                <w:lang w:eastAsia="en-AU"/>
              </w:rPr>
              <w:t>28/04/2023</w:t>
            </w:r>
          </w:p>
        </w:tc>
        <w:tc>
          <w:tcPr>
            <w:tcW w:w="586" w:type="pct"/>
          </w:tcPr>
          <w:p w14:paraId="70304EC3" w14:textId="6434EE0D" w:rsidR="00861128" w:rsidRPr="00F321F3" w:rsidRDefault="00861128" w:rsidP="00861128">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BE3F2D">
              <w:rPr>
                <w:lang w:eastAsia="en-AU"/>
              </w:rPr>
              <w:t xml:space="preserve">AusNet Services </w:t>
            </w:r>
          </w:p>
        </w:tc>
        <w:tc>
          <w:tcPr>
            <w:tcW w:w="2089" w:type="pct"/>
          </w:tcPr>
          <w:p w14:paraId="084A92DE" w14:textId="4C9E5C55" w:rsidR="00861128" w:rsidRPr="00F321F3" w:rsidRDefault="00694F84" w:rsidP="00861128">
            <w:pPr>
              <w:pStyle w:val="ESV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Energy Safe</w:t>
            </w:r>
            <w:r w:rsidR="00861128" w:rsidRPr="00BE3F2D">
              <w:rPr>
                <w:lang w:eastAsia="en-AU"/>
              </w:rPr>
              <w:t xml:space="preserve"> granted a time extension to AusNet until 1 November 2023 to achieve </w:t>
            </w:r>
            <w:r w:rsidR="00C809C0">
              <w:rPr>
                <w:lang w:eastAsia="en-AU"/>
              </w:rPr>
              <w:t xml:space="preserve">REFCL </w:t>
            </w:r>
            <w:r w:rsidR="00861128" w:rsidRPr="00BE3F2D">
              <w:rPr>
                <w:lang w:eastAsia="en-AU"/>
              </w:rPr>
              <w:t xml:space="preserve">compliance at Benalla. It was determined during the Benalla REFCL testing that one of the feeders at Benalla, the longest on the AusNet network, was causing </w:t>
            </w:r>
            <w:r w:rsidR="00D34079">
              <w:rPr>
                <w:lang w:eastAsia="en-AU"/>
              </w:rPr>
              <w:t xml:space="preserve">REFCL </w:t>
            </w:r>
            <w:r w:rsidR="00861128" w:rsidRPr="00BE3F2D">
              <w:rPr>
                <w:lang w:eastAsia="en-AU"/>
              </w:rPr>
              <w:t xml:space="preserve">performance issues. This will be resolved by the installation on an additional remote- REFCL part way along the feeder.  </w:t>
            </w:r>
          </w:p>
        </w:tc>
        <w:tc>
          <w:tcPr>
            <w:tcW w:w="1693" w:type="pct"/>
          </w:tcPr>
          <w:p w14:paraId="2FF10439" w14:textId="75FDF53F" w:rsidR="00861128" w:rsidRDefault="00861128" w:rsidP="00861128">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BE3F2D">
              <w:rPr>
                <w:lang w:eastAsia="en-AU"/>
              </w:rPr>
              <w:t xml:space="preserve">Granting the time extension will allow AusNet time to install, commission and test the additional REFCL before the 2023/24 bushfire season.  This will enable the wider Benalla community to benefit from the maximum bushfire risk reduction benefits attributable to REFCL before Summer. </w:t>
            </w:r>
          </w:p>
        </w:tc>
      </w:tr>
      <w:tr w:rsidR="00861128" w:rsidRPr="00F321F3" w14:paraId="1C3A167F" w14:textId="77777777" w:rsidTr="00861128">
        <w:trPr>
          <w:trHeight w:val="3000"/>
        </w:trPr>
        <w:tc>
          <w:tcPr>
            <w:cnfStyle w:val="001000000000" w:firstRow="0" w:lastRow="0" w:firstColumn="1" w:lastColumn="0" w:oddVBand="0" w:evenVBand="0" w:oddHBand="0" w:evenHBand="0" w:firstRowFirstColumn="0" w:firstRowLastColumn="0" w:lastRowFirstColumn="0" w:lastRowLastColumn="0"/>
            <w:tcW w:w="632" w:type="pct"/>
            <w:noWrap/>
          </w:tcPr>
          <w:p w14:paraId="2EB73432" w14:textId="2AB674DD" w:rsidR="00861128" w:rsidRPr="00F321F3" w:rsidRDefault="00861128" w:rsidP="00861128">
            <w:pPr>
              <w:pStyle w:val="ESVTablecolrowhead"/>
              <w:rPr>
                <w:lang w:eastAsia="en-AU"/>
              </w:rPr>
            </w:pPr>
            <w:r w:rsidRPr="00BE3F2D">
              <w:rPr>
                <w:lang w:eastAsia="en-AU"/>
              </w:rPr>
              <w:t>28/04/2023</w:t>
            </w:r>
          </w:p>
        </w:tc>
        <w:tc>
          <w:tcPr>
            <w:tcW w:w="586" w:type="pct"/>
          </w:tcPr>
          <w:p w14:paraId="455A38A2" w14:textId="34AE093E" w:rsidR="00861128" w:rsidRPr="00F321F3" w:rsidRDefault="00861128" w:rsidP="00861128">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BE3F2D">
              <w:rPr>
                <w:lang w:eastAsia="en-AU"/>
              </w:rPr>
              <w:t xml:space="preserve">AusNet Services </w:t>
            </w:r>
          </w:p>
        </w:tc>
        <w:tc>
          <w:tcPr>
            <w:tcW w:w="2089" w:type="pct"/>
          </w:tcPr>
          <w:p w14:paraId="313B69DB" w14:textId="724901BE" w:rsidR="00861128" w:rsidRPr="00F321F3" w:rsidRDefault="00694F84">
            <w:pPr>
              <w:pStyle w:val="ESV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Energy Safe</w:t>
            </w:r>
            <w:r w:rsidR="00861128" w:rsidRPr="00BE3F2D">
              <w:rPr>
                <w:lang w:eastAsia="en-AU"/>
              </w:rPr>
              <w:t xml:space="preserve"> granted AusNet an exemption</w:t>
            </w:r>
            <w:r w:rsidR="00C809C0">
              <w:rPr>
                <w:lang w:eastAsia="en-AU"/>
              </w:rPr>
              <w:t xml:space="preserve"> to being REFCL compliant at Benalla </w:t>
            </w:r>
            <w:r w:rsidR="00861128" w:rsidRPr="00BE3F2D">
              <w:rPr>
                <w:lang w:eastAsia="en-AU"/>
              </w:rPr>
              <w:t xml:space="preserve">until 1 November 2023 to align with the time extension. </w:t>
            </w:r>
          </w:p>
        </w:tc>
        <w:tc>
          <w:tcPr>
            <w:tcW w:w="1693" w:type="pct"/>
          </w:tcPr>
          <w:p w14:paraId="4F58C994" w14:textId="1BBBC686" w:rsidR="00861128" w:rsidRDefault="00861128">
            <w:pPr>
              <w:pStyle w:val="ESVTablebody"/>
              <w:cnfStyle w:val="000000000000" w:firstRow="0" w:lastRow="0" w:firstColumn="0" w:lastColumn="0" w:oddVBand="0" w:evenVBand="0" w:oddHBand="0" w:evenHBand="0" w:firstRowFirstColumn="0" w:firstRowLastColumn="0" w:lastRowFirstColumn="0" w:lastRowLastColumn="0"/>
              <w:rPr>
                <w:lang w:eastAsia="en-AU"/>
              </w:rPr>
            </w:pPr>
            <w:r w:rsidRPr="00BE3F2D">
              <w:rPr>
                <w:lang w:eastAsia="en-AU"/>
              </w:rPr>
              <w:t>Granting the time extension will allow AusNet time to install, commission and test the additional REFCL before the 2023/24 bushfire season. This will enable the wider Benalla</w:t>
            </w:r>
            <w:r w:rsidR="00D34079">
              <w:rPr>
                <w:lang w:eastAsia="en-AU"/>
              </w:rPr>
              <w:t xml:space="preserve"> </w:t>
            </w:r>
            <w:r w:rsidRPr="00BE3F2D">
              <w:rPr>
                <w:lang w:eastAsia="en-AU"/>
              </w:rPr>
              <w:t xml:space="preserve">community to benefit from the maximum bushfire risk reduction benefits attributable to REFCL before Summer. </w:t>
            </w:r>
          </w:p>
        </w:tc>
      </w:tr>
    </w:tbl>
    <w:p w14:paraId="4EAB22C9" w14:textId="77777777" w:rsidR="008F3407" w:rsidRDefault="008F3407" w:rsidP="00F50CD1">
      <w:pPr>
        <w:pStyle w:val="ESVBody"/>
      </w:pPr>
    </w:p>
    <w:sectPr w:rsidR="008F3407" w:rsidSect="003C0582">
      <w:headerReference w:type="default" r:id="rId10"/>
      <w:footerReference w:type="default" r:id="rId11"/>
      <w:type w:val="continuous"/>
      <w:pgSz w:w="11906" w:h="16838" w:code="9"/>
      <w:pgMar w:top="1418" w:right="1134"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906D" w14:textId="77777777" w:rsidR="00637C1A" w:rsidRDefault="00637C1A">
      <w:r>
        <w:separator/>
      </w:r>
    </w:p>
  </w:endnote>
  <w:endnote w:type="continuationSeparator" w:id="0">
    <w:p w14:paraId="45D6B90D" w14:textId="77777777" w:rsidR="00637C1A" w:rsidRDefault="0063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6518" w14:textId="77777777" w:rsidR="00637C1A" w:rsidRPr="00F65AA9" w:rsidRDefault="00637C1A" w:rsidP="0051568D">
    <w:pPr>
      <w:pStyle w:val="ESVFooter"/>
    </w:pPr>
    <w:r>
      <w:rPr>
        <w:noProof/>
        <w:lang w:eastAsia="en-AU"/>
      </w:rPr>
      <w:drawing>
        <wp:anchor distT="0" distB="0" distL="114300" distR="114300" simplePos="0" relativeHeight="251658240" behindDoc="0" locked="1" layoutInCell="0" allowOverlap="1" wp14:anchorId="73015571" wp14:editId="1537D042">
          <wp:simplePos x="0" y="0"/>
          <wp:positionH relativeFrom="page">
            <wp:posOffset>0</wp:posOffset>
          </wp:positionH>
          <wp:positionV relativeFrom="page">
            <wp:posOffset>9900920</wp:posOffset>
          </wp:positionV>
          <wp:extent cx="7552690" cy="791845"/>
          <wp:effectExtent l="0" t="0" r="0" b="8255"/>
          <wp:wrapNone/>
          <wp:docPr id="2" name="Picture 2" descr="Victoria State Government - Energy Saf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 Energy Safe Victoria"/>
                  <pic:cNvPicPr/>
                </pic:nvPicPr>
                <pic:blipFill>
                  <a:blip r:embed="rId1"/>
                  <a:stretch>
                    <a:fillRect/>
                  </a:stretch>
                </pic:blipFill>
                <pic:spPr>
                  <a:xfrm>
                    <a:off x="0" y="0"/>
                    <a:ext cx="7552690" cy="791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1759" w14:textId="5925E8F4" w:rsidR="00637C1A" w:rsidRPr="00A11421" w:rsidRDefault="00637C1A" w:rsidP="0051568D">
    <w:pPr>
      <w:pStyle w:val="ESVFooter"/>
    </w:pPr>
    <w:r>
      <w:t xml:space="preserve">REFCL Program Status </w:t>
    </w:r>
    <w:proofErr w:type="gramStart"/>
    <w:r>
      <w:t>at</w:t>
    </w:r>
    <w:proofErr w:type="gramEnd"/>
    <w:r>
      <w:t xml:space="preserve"> 1 </w:t>
    </w:r>
    <w:r w:rsidR="006114A1">
      <w:t>November</w:t>
    </w:r>
    <w:r>
      <w:t xml:space="preserve"> 2023</w:t>
    </w:r>
    <w:r w:rsidRPr="00A11421">
      <w:tab/>
    </w:r>
    <w:r>
      <w:t xml:space="preserve">Page </w:t>
    </w:r>
    <w:r w:rsidRPr="00A11421">
      <w:fldChar w:fldCharType="begin"/>
    </w:r>
    <w:r w:rsidRPr="00A11421">
      <w:instrText xml:space="preserve"> PAGE </w:instrText>
    </w:r>
    <w:r w:rsidRPr="00A11421">
      <w:fldChar w:fldCharType="separate"/>
    </w:r>
    <w:r w:rsidR="00D34079">
      <w:rPr>
        <w:noProof/>
      </w:rPr>
      <w:t>6</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E8A0" w14:textId="77777777" w:rsidR="00637C1A" w:rsidRDefault="00637C1A" w:rsidP="002862F1">
      <w:pPr>
        <w:spacing w:before="120"/>
      </w:pPr>
      <w:r>
        <w:separator/>
      </w:r>
    </w:p>
  </w:footnote>
  <w:footnote w:type="continuationSeparator" w:id="0">
    <w:p w14:paraId="730596D6" w14:textId="77777777" w:rsidR="00637C1A" w:rsidRDefault="00637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7F6B" w14:textId="77777777" w:rsidR="00637C1A" w:rsidRPr="0051568D" w:rsidRDefault="00637C1A" w:rsidP="0051568D">
    <w:pPr>
      <w:pStyle w:val="ESVHeader"/>
    </w:pPr>
    <w:r>
      <w:t>Energy Safe Victoria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474127A"/>
    <w:multiLevelType w:val="multilevel"/>
    <w:tmpl w:val="FF4EEB3C"/>
    <w:styleLink w:val="ZZNumbers"/>
    <w:lvl w:ilvl="0">
      <w:start w:val="1"/>
      <w:numFmt w:val="decimal"/>
      <w:pStyle w:val="ESVNumber"/>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505324E"/>
    <w:multiLevelType w:val="hybridMultilevel"/>
    <w:tmpl w:val="1AFED2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701C1E"/>
    <w:multiLevelType w:val="hybridMultilevel"/>
    <w:tmpl w:val="1AFED2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CE2660"/>
    <w:multiLevelType w:val="multilevel"/>
    <w:tmpl w:val="4864A25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29B2B4E"/>
    <w:multiLevelType w:val="multilevel"/>
    <w:tmpl w:val="FF4EEB3C"/>
    <w:numStyleLink w:val="ZZNumbers"/>
  </w:abstractNum>
  <w:abstractNum w:abstractNumId="6" w15:restartNumberingAfterBreak="0">
    <w:nsid w:val="37B96CDA"/>
    <w:multiLevelType w:val="multilevel"/>
    <w:tmpl w:val="20B8AF04"/>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B873D0B"/>
    <w:multiLevelType w:val="hybridMultilevel"/>
    <w:tmpl w:val="1AFED2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1611C2"/>
    <w:multiLevelType w:val="multilevel"/>
    <w:tmpl w:val="96B4DF56"/>
    <w:styleLink w:val="ZZTablebullets"/>
    <w:lvl w:ilvl="0">
      <w:start w:val="1"/>
      <w:numFmt w:val="bullet"/>
      <w:pStyle w:val="ESVTablebullet1"/>
      <w:lvlText w:val="•"/>
      <w:lvlJc w:val="left"/>
      <w:pPr>
        <w:ind w:left="227" w:hanging="227"/>
      </w:pPr>
      <w:rPr>
        <w:rFonts w:ascii="Calibri" w:hAnsi="Calibri" w:hint="default"/>
      </w:rPr>
    </w:lvl>
    <w:lvl w:ilvl="1">
      <w:start w:val="1"/>
      <w:numFmt w:val="bullet"/>
      <w:lvlRestart w:val="0"/>
      <w:pStyle w:val="ES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ESVBulletlevel1"/>
      <w:lvlText w:val="•"/>
      <w:lvlJc w:val="left"/>
      <w:pPr>
        <w:ind w:left="284" w:hanging="284"/>
      </w:pPr>
      <w:rPr>
        <w:rFonts w:ascii="Calibri" w:hAnsi="Calibri" w:hint="default"/>
      </w:rPr>
    </w:lvl>
    <w:lvl w:ilvl="1">
      <w:start w:val="1"/>
      <w:numFmt w:val="bullet"/>
      <w:lvlRestart w:val="0"/>
      <w:pStyle w:val="ESVBulletlevel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9119B7"/>
    <w:multiLevelType w:val="multilevel"/>
    <w:tmpl w:val="4864A25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D360F6"/>
    <w:multiLevelType w:val="hybridMultilevel"/>
    <w:tmpl w:val="1AFED2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14506B"/>
    <w:multiLevelType w:val="multilevel"/>
    <w:tmpl w:val="C296AF38"/>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E894F94"/>
    <w:multiLevelType w:val="hybridMultilevel"/>
    <w:tmpl w:val="1AFED2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356A87"/>
    <w:multiLevelType w:val="multilevel"/>
    <w:tmpl w:val="866C5A8E"/>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951011489">
    <w:abstractNumId w:val="0"/>
  </w:num>
  <w:num w:numId="2" w16cid:durableId="645862817">
    <w:abstractNumId w:val="1"/>
  </w:num>
  <w:num w:numId="3" w16cid:durableId="176129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0963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6317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7165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4409325">
    <w:abstractNumId w:val="9"/>
  </w:num>
  <w:num w:numId="8" w16cid:durableId="1246300406">
    <w:abstractNumId w:val="6"/>
  </w:num>
  <w:num w:numId="9" w16cid:durableId="1146243174">
    <w:abstractNumId w:val="8"/>
  </w:num>
  <w:num w:numId="10" w16cid:durableId="101649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5247677">
    <w:abstractNumId w:val="15"/>
  </w:num>
  <w:num w:numId="12" w16cid:durableId="1848322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7322510">
    <w:abstractNumId w:val="12"/>
  </w:num>
  <w:num w:numId="14" w16cid:durableId="12085696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97015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85767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0080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4504387">
    <w:abstractNumId w:val="13"/>
  </w:num>
  <w:num w:numId="19" w16cid:durableId="2036736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4147187">
    <w:abstractNumId w:val="10"/>
  </w:num>
  <w:num w:numId="21" w16cid:durableId="1188831800">
    <w:abstractNumId w:val="4"/>
  </w:num>
  <w:num w:numId="22" w16cid:durableId="56362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8516552">
    <w:abstractNumId w:val="2"/>
  </w:num>
  <w:num w:numId="24" w16cid:durableId="1571118826">
    <w:abstractNumId w:val="7"/>
  </w:num>
  <w:num w:numId="25" w16cid:durableId="1321735941">
    <w:abstractNumId w:val="11"/>
  </w:num>
  <w:num w:numId="26" w16cid:durableId="730692953">
    <w:abstractNumId w:val="3"/>
  </w:num>
  <w:num w:numId="27" w16cid:durableId="145706909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83A"/>
    <w:rsid w:val="000072B6"/>
    <w:rsid w:val="0001021B"/>
    <w:rsid w:val="00011D89"/>
    <w:rsid w:val="000154FD"/>
    <w:rsid w:val="000214B0"/>
    <w:rsid w:val="000231D2"/>
    <w:rsid w:val="00024D89"/>
    <w:rsid w:val="000250B6"/>
    <w:rsid w:val="000300E7"/>
    <w:rsid w:val="00033955"/>
    <w:rsid w:val="00033D81"/>
    <w:rsid w:val="00034095"/>
    <w:rsid w:val="00041BF0"/>
    <w:rsid w:val="0004536B"/>
    <w:rsid w:val="00046B68"/>
    <w:rsid w:val="000527DD"/>
    <w:rsid w:val="00056DC1"/>
    <w:rsid w:val="000578B2"/>
    <w:rsid w:val="00057AFC"/>
    <w:rsid w:val="00060959"/>
    <w:rsid w:val="00062413"/>
    <w:rsid w:val="000663CD"/>
    <w:rsid w:val="000733FE"/>
    <w:rsid w:val="00074219"/>
    <w:rsid w:val="00074ED5"/>
    <w:rsid w:val="000832AA"/>
    <w:rsid w:val="0008508E"/>
    <w:rsid w:val="00085A57"/>
    <w:rsid w:val="00087D84"/>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5B4C"/>
    <w:rsid w:val="000E6BD4"/>
    <w:rsid w:val="000F1F1E"/>
    <w:rsid w:val="000F2259"/>
    <w:rsid w:val="0010392D"/>
    <w:rsid w:val="0010447F"/>
    <w:rsid w:val="00104FE3"/>
    <w:rsid w:val="001062C1"/>
    <w:rsid w:val="00107D8F"/>
    <w:rsid w:val="00110CA7"/>
    <w:rsid w:val="00120BD3"/>
    <w:rsid w:val="00122FEA"/>
    <w:rsid w:val="001232BD"/>
    <w:rsid w:val="001233CA"/>
    <w:rsid w:val="00124ED5"/>
    <w:rsid w:val="001276FA"/>
    <w:rsid w:val="00127BB1"/>
    <w:rsid w:val="00132129"/>
    <w:rsid w:val="00141DF1"/>
    <w:rsid w:val="001447B3"/>
    <w:rsid w:val="00146647"/>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A5D70"/>
    <w:rsid w:val="001B6F97"/>
    <w:rsid w:val="001C0EFF"/>
    <w:rsid w:val="001C277E"/>
    <w:rsid w:val="001C298B"/>
    <w:rsid w:val="001C2A72"/>
    <w:rsid w:val="001C715D"/>
    <w:rsid w:val="001C7282"/>
    <w:rsid w:val="001D0B75"/>
    <w:rsid w:val="001D371A"/>
    <w:rsid w:val="001D3C09"/>
    <w:rsid w:val="001D44E8"/>
    <w:rsid w:val="001D60EC"/>
    <w:rsid w:val="001D7568"/>
    <w:rsid w:val="001E44DF"/>
    <w:rsid w:val="001E68A5"/>
    <w:rsid w:val="001E6BB0"/>
    <w:rsid w:val="001F3826"/>
    <w:rsid w:val="001F6168"/>
    <w:rsid w:val="001F6E46"/>
    <w:rsid w:val="001F7C91"/>
    <w:rsid w:val="00206463"/>
    <w:rsid w:val="00206F2F"/>
    <w:rsid w:val="0021053D"/>
    <w:rsid w:val="00210A92"/>
    <w:rsid w:val="002143A8"/>
    <w:rsid w:val="00216C03"/>
    <w:rsid w:val="00220C04"/>
    <w:rsid w:val="0022158D"/>
    <w:rsid w:val="0022278D"/>
    <w:rsid w:val="0022701F"/>
    <w:rsid w:val="0023072B"/>
    <w:rsid w:val="002333F5"/>
    <w:rsid w:val="00233724"/>
    <w:rsid w:val="002432E1"/>
    <w:rsid w:val="00246207"/>
    <w:rsid w:val="00246B72"/>
    <w:rsid w:val="00246C5E"/>
    <w:rsid w:val="00251343"/>
    <w:rsid w:val="00252E0D"/>
    <w:rsid w:val="002536A4"/>
    <w:rsid w:val="00254F58"/>
    <w:rsid w:val="00256AE6"/>
    <w:rsid w:val="002620BC"/>
    <w:rsid w:val="00262802"/>
    <w:rsid w:val="00263A90"/>
    <w:rsid w:val="0026402C"/>
    <w:rsid w:val="0026408B"/>
    <w:rsid w:val="00267C3E"/>
    <w:rsid w:val="002709BB"/>
    <w:rsid w:val="00273BAC"/>
    <w:rsid w:val="002763B3"/>
    <w:rsid w:val="002802E3"/>
    <w:rsid w:val="0028213D"/>
    <w:rsid w:val="002862F1"/>
    <w:rsid w:val="00291373"/>
    <w:rsid w:val="0029150B"/>
    <w:rsid w:val="00292CD8"/>
    <w:rsid w:val="0029597D"/>
    <w:rsid w:val="002962C3"/>
    <w:rsid w:val="0029752B"/>
    <w:rsid w:val="002A483C"/>
    <w:rsid w:val="002B0BEE"/>
    <w:rsid w:val="002B0C7C"/>
    <w:rsid w:val="002B1729"/>
    <w:rsid w:val="002B36C7"/>
    <w:rsid w:val="002B4DD4"/>
    <w:rsid w:val="002B5277"/>
    <w:rsid w:val="002B5375"/>
    <w:rsid w:val="002B77C1"/>
    <w:rsid w:val="002C2728"/>
    <w:rsid w:val="002C2973"/>
    <w:rsid w:val="002D22DE"/>
    <w:rsid w:val="002D5006"/>
    <w:rsid w:val="002D77BA"/>
    <w:rsid w:val="002E01D0"/>
    <w:rsid w:val="002E161D"/>
    <w:rsid w:val="002E3100"/>
    <w:rsid w:val="002E6C95"/>
    <w:rsid w:val="002E7C36"/>
    <w:rsid w:val="002F1CCC"/>
    <w:rsid w:val="002F5F31"/>
    <w:rsid w:val="002F5F46"/>
    <w:rsid w:val="00302216"/>
    <w:rsid w:val="00302975"/>
    <w:rsid w:val="00303E53"/>
    <w:rsid w:val="00306E5F"/>
    <w:rsid w:val="00307E14"/>
    <w:rsid w:val="00314054"/>
    <w:rsid w:val="00316F27"/>
    <w:rsid w:val="00322395"/>
    <w:rsid w:val="00322E4B"/>
    <w:rsid w:val="00324914"/>
    <w:rsid w:val="00326924"/>
    <w:rsid w:val="00327870"/>
    <w:rsid w:val="0033259D"/>
    <w:rsid w:val="003333D2"/>
    <w:rsid w:val="003406C6"/>
    <w:rsid w:val="003418CC"/>
    <w:rsid w:val="003459BD"/>
    <w:rsid w:val="00350D38"/>
    <w:rsid w:val="00351B36"/>
    <w:rsid w:val="0035476B"/>
    <w:rsid w:val="00357B4E"/>
    <w:rsid w:val="00362285"/>
    <w:rsid w:val="0036751E"/>
    <w:rsid w:val="003716FD"/>
    <w:rsid w:val="0037204B"/>
    <w:rsid w:val="003744CF"/>
    <w:rsid w:val="0037464B"/>
    <w:rsid w:val="00374717"/>
    <w:rsid w:val="00374A39"/>
    <w:rsid w:val="0037676C"/>
    <w:rsid w:val="00377643"/>
    <w:rsid w:val="00381043"/>
    <w:rsid w:val="00381A26"/>
    <w:rsid w:val="003829E5"/>
    <w:rsid w:val="00383704"/>
    <w:rsid w:val="00394B49"/>
    <w:rsid w:val="003956CC"/>
    <w:rsid w:val="00395C9A"/>
    <w:rsid w:val="003A28DB"/>
    <w:rsid w:val="003A6B67"/>
    <w:rsid w:val="003B13B6"/>
    <w:rsid w:val="003B15E6"/>
    <w:rsid w:val="003B22C1"/>
    <w:rsid w:val="003B5AB4"/>
    <w:rsid w:val="003C0582"/>
    <w:rsid w:val="003C08A2"/>
    <w:rsid w:val="003C2045"/>
    <w:rsid w:val="003C43A1"/>
    <w:rsid w:val="003C4FC0"/>
    <w:rsid w:val="003C55F4"/>
    <w:rsid w:val="003C7897"/>
    <w:rsid w:val="003C7A3F"/>
    <w:rsid w:val="003D2766"/>
    <w:rsid w:val="003D3E8F"/>
    <w:rsid w:val="003D4E7E"/>
    <w:rsid w:val="003D6475"/>
    <w:rsid w:val="003D72B5"/>
    <w:rsid w:val="003D7A7D"/>
    <w:rsid w:val="003E375C"/>
    <w:rsid w:val="003E38DF"/>
    <w:rsid w:val="003E4086"/>
    <w:rsid w:val="003E40F9"/>
    <w:rsid w:val="003F0445"/>
    <w:rsid w:val="003F0CF0"/>
    <w:rsid w:val="003F14B1"/>
    <w:rsid w:val="003F3289"/>
    <w:rsid w:val="003F4217"/>
    <w:rsid w:val="004013C7"/>
    <w:rsid w:val="00401FCF"/>
    <w:rsid w:val="00406285"/>
    <w:rsid w:val="004148F9"/>
    <w:rsid w:val="00420772"/>
    <w:rsid w:val="0042084E"/>
    <w:rsid w:val="00421EEF"/>
    <w:rsid w:val="00422FAF"/>
    <w:rsid w:val="00424D65"/>
    <w:rsid w:val="004317C8"/>
    <w:rsid w:val="00441968"/>
    <w:rsid w:val="00442C6C"/>
    <w:rsid w:val="00443CBE"/>
    <w:rsid w:val="00443E8A"/>
    <w:rsid w:val="004441BC"/>
    <w:rsid w:val="004468B4"/>
    <w:rsid w:val="0045230A"/>
    <w:rsid w:val="00453DC4"/>
    <w:rsid w:val="00457337"/>
    <w:rsid w:val="0047372D"/>
    <w:rsid w:val="00473BA3"/>
    <w:rsid w:val="004743DD"/>
    <w:rsid w:val="00474CEA"/>
    <w:rsid w:val="00477883"/>
    <w:rsid w:val="00483968"/>
    <w:rsid w:val="00484F86"/>
    <w:rsid w:val="00490746"/>
    <w:rsid w:val="00490852"/>
    <w:rsid w:val="00492F30"/>
    <w:rsid w:val="004946F4"/>
    <w:rsid w:val="0049487E"/>
    <w:rsid w:val="004A160D"/>
    <w:rsid w:val="004A3E81"/>
    <w:rsid w:val="004A5C62"/>
    <w:rsid w:val="004A707D"/>
    <w:rsid w:val="004B03A1"/>
    <w:rsid w:val="004C1466"/>
    <w:rsid w:val="004C6EEE"/>
    <w:rsid w:val="004C702B"/>
    <w:rsid w:val="004D0033"/>
    <w:rsid w:val="004D016B"/>
    <w:rsid w:val="004D1B22"/>
    <w:rsid w:val="004D36F2"/>
    <w:rsid w:val="004D4D9E"/>
    <w:rsid w:val="004D6217"/>
    <w:rsid w:val="004D6369"/>
    <w:rsid w:val="004D747A"/>
    <w:rsid w:val="004E1106"/>
    <w:rsid w:val="004E138F"/>
    <w:rsid w:val="004E14F7"/>
    <w:rsid w:val="004E4649"/>
    <w:rsid w:val="004E5C2B"/>
    <w:rsid w:val="004E6CEB"/>
    <w:rsid w:val="004F00DD"/>
    <w:rsid w:val="004F2133"/>
    <w:rsid w:val="004F5331"/>
    <w:rsid w:val="004F55F1"/>
    <w:rsid w:val="004F6307"/>
    <w:rsid w:val="004F6571"/>
    <w:rsid w:val="004F6936"/>
    <w:rsid w:val="004F6D98"/>
    <w:rsid w:val="00503DC6"/>
    <w:rsid w:val="00506F5D"/>
    <w:rsid w:val="005126D0"/>
    <w:rsid w:val="0051568D"/>
    <w:rsid w:val="00526C15"/>
    <w:rsid w:val="005313B2"/>
    <w:rsid w:val="00534F5E"/>
    <w:rsid w:val="00536499"/>
    <w:rsid w:val="00543903"/>
    <w:rsid w:val="00543F11"/>
    <w:rsid w:val="00547A95"/>
    <w:rsid w:val="00560B00"/>
    <w:rsid w:val="00564D0D"/>
    <w:rsid w:val="00570157"/>
    <w:rsid w:val="00570DE4"/>
    <w:rsid w:val="00572031"/>
    <w:rsid w:val="00572282"/>
    <w:rsid w:val="00573933"/>
    <w:rsid w:val="00576E84"/>
    <w:rsid w:val="00582B8C"/>
    <w:rsid w:val="00582F9A"/>
    <w:rsid w:val="00586C60"/>
    <w:rsid w:val="0058757E"/>
    <w:rsid w:val="00596A4B"/>
    <w:rsid w:val="00597507"/>
    <w:rsid w:val="005B1C6D"/>
    <w:rsid w:val="005B1D31"/>
    <w:rsid w:val="005B21B6"/>
    <w:rsid w:val="005B3A08"/>
    <w:rsid w:val="005B7A63"/>
    <w:rsid w:val="005C01BB"/>
    <w:rsid w:val="005C0955"/>
    <w:rsid w:val="005C49DA"/>
    <w:rsid w:val="005C50F3"/>
    <w:rsid w:val="005C54B5"/>
    <w:rsid w:val="005C5D80"/>
    <w:rsid w:val="005C5D91"/>
    <w:rsid w:val="005C68CB"/>
    <w:rsid w:val="005D07B8"/>
    <w:rsid w:val="005D1708"/>
    <w:rsid w:val="005D6597"/>
    <w:rsid w:val="005E14E7"/>
    <w:rsid w:val="005E1E2B"/>
    <w:rsid w:val="005E26A3"/>
    <w:rsid w:val="005E447E"/>
    <w:rsid w:val="005F0775"/>
    <w:rsid w:val="005F0CF5"/>
    <w:rsid w:val="005F21EB"/>
    <w:rsid w:val="00605908"/>
    <w:rsid w:val="00606341"/>
    <w:rsid w:val="006069F3"/>
    <w:rsid w:val="00610D7C"/>
    <w:rsid w:val="006114A1"/>
    <w:rsid w:val="00613414"/>
    <w:rsid w:val="00620154"/>
    <w:rsid w:val="0062408D"/>
    <w:rsid w:val="006240CC"/>
    <w:rsid w:val="006254F8"/>
    <w:rsid w:val="00626420"/>
    <w:rsid w:val="00627DA7"/>
    <w:rsid w:val="006310EB"/>
    <w:rsid w:val="00633E23"/>
    <w:rsid w:val="006358B4"/>
    <w:rsid w:val="00637C1A"/>
    <w:rsid w:val="00640396"/>
    <w:rsid w:val="006419AA"/>
    <w:rsid w:val="00644B1F"/>
    <w:rsid w:val="00644B7E"/>
    <w:rsid w:val="006454E6"/>
    <w:rsid w:val="00646235"/>
    <w:rsid w:val="00646A68"/>
    <w:rsid w:val="0065092E"/>
    <w:rsid w:val="006557A7"/>
    <w:rsid w:val="00656290"/>
    <w:rsid w:val="00657BC1"/>
    <w:rsid w:val="00660470"/>
    <w:rsid w:val="006621D7"/>
    <w:rsid w:val="0066302A"/>
    <w:rsid w:val="006657E0"/>
    <w:rsid w:val="006702A3"/>
    <w:rsid w:val="00670597"/>
    <w:rsid w:val="006706D0"/>
    <w:rsid w:val="00677574"/>
    <w:rsid w:val="0068454C"/>
    <w:rsid w:val="00684822"/>
    <w:rsid w:val="00691B62"/>
    <w:rsid w:val="006933B5"/>
    <w:rsid w:val="00693D14"/>
    <w:rsid w:val="00694034"/>
    <w:rsid w:val="00694F84"/>
    <w:rsid w:val="006950BD"/>
    <w:rsid w:val="00696C01"/>
    <w:rsid w:val="006A18C2"/>
    <w:rsid w:val="006B077C"/>
    <w:rsid w:val="006B6803"/>
    <w:rsid w:val="006B77C8"/>
    <w:rsid w:val="006C0CCE"/>
    <w:rsid w:val="006D0F16"/>
    <w:rsid w:val="006D2A3F"/>
    <w:rsid w:val="006D2FBC"/>
    <w:rsid w:val="006E138B"/>
    <w:rsid w:val="006E27AE"/>
    <w:rsid w:val="006F1FDC"/>
    <w:rsid w:val="006F6B8C"/>
    <w:rsid w:val="00701071"/>
    <w:rsid w:val="007013EF"/>
    <w:rsid w:val="00713CF6"/>
    <w:rsid w:val="00715081"/>
    <w:rsid w:val="007173CA"/>
    <w:rsid w:val="007216AA"/>
    <w:rsid w:val="00721AB5"/>
    <w:rsid w:val="00721CFB"/>
    <w:rsid w:val="00721DEF"/>
    <w:rsid w:val="00724A43"/>
    <w:rsid w:val="007346E4"/>
    <w:rsid w:val="00737AB3"/>
    <w:rsid w:val="00740F22"/>
    <w:rsid w:val="00741F1A"/>
    <w:rsid w:val="007450F8"/>
    <w:rsid w:val="0074696E"/>
    <w:rsid w:val="00747BBD"/>
    <w:rsid w:val="00750135"/>
    <w:rsid w:val="00750EC2"/>
    <w:rsid w:val="00752B28"/>
    <w:rsid w:val="00752CDE"/>
    <w:rsid w:val="00754E36"/>
    <w:rsid w:val="0076228E"/>
    <w:rsid w:val="007623CF"/>
    <w:rsid w:val="00763139"/>
    <w:rsid w:val="007666BA"/>
    <w:rsid w:val="00770F37"/>
    <w:rsid w:val="007711A0"/>
    <w:rsid w:val="00772D5E"/>
    <w:rsid w:val="00776928"/>
    <w:rsid w:val="00785677"/>
    <w:rsid w:val="00786F16"/>
    <w:rsid w:val="00791BD7"/>
    <w:rsid w:val="007933F7"/>
    <w:rsid w:val="00796E20"/>
    <w:rsid w:val="00797C32"/>
    <w:rsid w:val="007A11E8"/>
    <w:rsid w:val="007A5032"/>
    <w:rsid w:val="007B0914"/>
    <w:rsid w:val="007B1374"/>
    <w:rsid w:val="007B589F"/>
    <w:rsid w:val="007B6186"/>
    <w:rsid w:val="007B73BC"/>
    <w:rsid w:val="007B7790"/>
    <w:rsid w:val="007C183A"/>
    <w:rsid w:val="007C20B9"/>
    <w:rsid w:val="007C466A"/>
    <w:rsid w:val="007C7301"/>
    <w:rsid w:val="007C7859"/>
    <w:rsid w:val="007D2BDE"/>
    <w:rsid w:val="007D2FB6"/>
    <w:rsid w:val="007D3595"/>
    <w:rsid w:val="007D49EB"/>
    <w:rsid w:val="007D6BF4"/>
    <w:rsid w:val="007D7D01"/>
    <w:rsid w:val="007E0DE2"/>
    <w:rsid w:val="007E3B98"/>
    <w:rsid w:val="007E417A"/>
    <w:rsid w:val="007F31B6"/>
    <w:rsid w:val="007F546C"/>
    <w:rsid w:val="007F625F"/>
    <w:rsid w:val="007F665E"/>
    <w:rsid w:val="007F7ACA"/>
    <w:rsid w:val="00800412"/>
    <w:rsid w:val="0080587B"/>
    <w:rsid w:val="00806468"/>
    <w:rsid w:val="008155F0"/>
    <w:rsid w:val="00816735"/>
    <w:rsid w:val="00820141"/>
    <w:rsid w:val="00820E0C"/>
    <w:rsid w:val="00822189"/>
    <w:rsid w:val="008234FF"/>
    <w:rsid w:val="0082366F"/>
    <w:rsid w:val="008248E8"/>
    <w:rsid w:val="008338A2"/>
    <w:rsid w:val="00834CD0"/>
    <w:rsid w:val="00841AA9"/>
    <w:rsid w:val="00845D7B"/>
    <w:rsid w:val="00851418"/>
    <w:rsid w:val="00853EE4"/>
    <w:rsid w:val="00855535"/>
    <w:rsid w:val="00857C5A"/>
    <w:rsid w:val="00861128"/>
    <w:rsid w:val="008617F3"/>
    <w:rsid w:val="0086255E"/>
    <w:rsid w:val="008633F0"/>
    <w:rsid w:val="00867D9D"/>
    <w:rsid w:val="00872E0A"/>
    <w:rsid w:val="00873436"/>
    <w:rsid w:val="00875285"/>
    <w:rsid w:val="00884B62"/>
    <w:rsid w:val="0088529C"/>
    <w:rsid w:val="00886F1E"/>
    <w:rsid w:val="00887903"/>
    <w:rsid w:val="0089270A"/>
    <w:rsid w:val="00893AF6"/>
    <w:rsid w:val="00894BC4"/>
    <w:rsid w:val="008A5B32"/>
    <w:rsid w:val="008B2EE4"/>
    <w:rsid w:val="008B4D3D"/>
    <w:rsid w:val="008B5305"/>
    <w:rsid w:val="008B57C7"/>
    <w:rsid w:val="008C2F92"/>
    <w:rsid w:val="008D0B99"/>
    <w:rsid w:val="008D2846"/>
    <w:rsid w:val="008D4236"/>
    <w:rsid w:val="008D462F"/>
    <w:rsid w:val="008D6DCF"/>
    <w:rsid w:val="008E4376"/>
    <w:rsid w:val="008E6268"/>
    <w:rsid w:val="008E7A0A"/>
    <w:rsid w:val="008E7B49"/>
    <w:rsid w:val="008F036C"/>
    <w:rsid w:val="008F1172"/>
    <w:rsid w:val="008F3407"/>
    <w:rsid w:val="008F3537"/>
    <w:rsid w:val="008F59F6"/>
    <w:rsid w:val="0090016F"/>
    <w:rsid w:val="00900719"/>
    <w:rsid w:val="009017AC"/>
    <w:rsid w:val="00904A1C"/>
    <w:rsid w:val="00905030"/>
    <w:rsid w:val="00905763"/>
    <w:rsid w:val="00906110"/>
    <w:rsid w:val="00906490"/>
    <w:rsid w:val="00911189"/>
    <w:rsid w:val="009111B2"/>
    <w:rsid w:val="0091589C"/>
    <w:rsid w:val="00924AE1"/>
    <w:rsid w:val="009269B1"/>
    <w:rsid w:val="0092724D"/>
    <w:rsid w:val="00927C2C"/>
    <w:rsid w:val="0093123F"/>
    <w:rsid w:val="0093338F"/>
    <w:rsid w:val="00934E39"/>
    <w:rsid w:val="0093610B"/>
    <w:rsid w:val="00937BD9"/>
    <w:rsid w:val="00950E2C"/>
    <w:rsid w:val="00951D50"/>
    <w:rsid w:val="009525EB"/>
    <w:rsid w:val="00952BD3"/>
    <w:rsid w:val="00954874"/>
    <w:rsid w:val="00961400"/>
    <w:rsid w:val="00963646"/>
    <w:rsid w:val="0096632D"/>
    <w:rsid w:val="0097559F"/>
    <w:rsid w:val="009853E1"/>
    <w:rsid w:val="00986E6B"/>
    <w:rsid w:val="00991769"/>
    <w:rsid w:val="00991A79"/>
    <w:rsid w:val="00994386"/>
    <w:rsid w:val="009A13D8"/>
    <w:rsid w:val="009A279E"/>
    <w:rsid w:val="009A2B27"/>
    <w:rsid w:val="009B0186"/>
    <w:rsid w:val="009B0A6F"/>
    <w:rsid w:val="009B0A94"/>
    <w:rsid w:val="009B3491"/>
    <w:rsid w:val="009B3892"/>
    <w:rsid w:val="009B3DAD"/>
    <w:rsid w:val="009B4D9F"/>
    <w:rsid w:val="009B54F8"/>
    <w:rsid w:val="009B59E9"/>
    <w:rsid w:val="009B70AA"/>
    <w:rsid w:val="009C142D"/>
    <w:rsid w:val="009C5E77"/>
    <w:rsid w:val="009C7A7E"/>
    <w:rsid w:val="009D02E8"/>
    <w:rsid w:val="009D51D0"/>
    <w:rsid w:val="009D70A4"/>
    <w:rsid w:val="009E08D1"/>
    <w:rsid w:val="009E1B95"/>
    <w:rsid w:val="009E3B63"/>
    <w:rsid w:val="009E496F"/>
    <w:rsid w:val="009E4B0D"/>
    <w:rsid w:val="009E7F92"/>
    <w:rsid w:val="009F02A3"/>
    <w:rsid w:val="009F2F27"/>
    <w:rsid w:val="009F34AA"/>
    <w:rsid w:val="009F6BCB"/>
    <w:rsid w:val="009F7B78"/>
    <w:rsid w:val="00A0057A"/>
    <w:rsid w:val="00A00B2E"/>
    <w:rsid w:val="00A01618"/>
    <w:rsid w:val="00A0776B"/>
    <w:rsid w:val="00A11421"/>
    <w:rsid w:val="00A157B1"/>
    <w:rsid w:val="00A22229"/>
    <w:rsid w:val="00A330BB"/>
    <w:rsid w:val="00A333E8"/>
    <w:rsid w:val="00A36214"/>
    <w:rsid w:val="00A44882"/>
    <w:rsid w:val="00A54715"/>
    <w:rsid w:val="00A6061C"/>
    <w:rsid w:val="00A62D44"/>
    <w:rsid w:val="00A67263"/>
    <w:rsid w:val="00A7161C"/>
    <w:rsid w:val="00A77AA3"/>
    <w:rsid w:val="00A84703"/>
    <w:rsid w:val="00A854EB"/>
    <w:rsid w:val="00A872E5"/>
    <w:rsid w:val="00A91406"/>
    <w:rsid w:val="00A96E65"/>
    <w:rsid w:val="00A97C72"/>
    <w:rsid w:val="00AA0F14"/>
    <w:rsid w:val="00AA63D4"/>
    <w:rsid w:val="00AA78AE"/>
    <w:rsid w:val="00AB06E8"/>
    <w:rsid w:val="00AB1CD3"/>
    <w:rsid w:val="00AB352F"/>
    <w:rsid w:val="00AC274B"/>
    <w:rsid w:val="00AC4764"/>
    <w:rsid w:val="00AC6D36"/>
    <w:rsid w:val="00AD0CBA"/>
    <w:rsid w:val="00AD1C60"/>
    <w:rsid w:val="00AD259D"/>
    <w:rsid w:val="00AD26E2"/>
    <w:rsid w:val="00AD5113"/>
    <w:rsid w:val="00AD784C"/>
    <w:rsid w:val="00AE126A"/>
    <w:rsid w:val="00AE3005"/>
    <w:rsid w:val="00AE3BD5"/>
    <w:rsid w:val="00AE59A0"/>
    <w:rsid w:val="00AF0C57"/>
    <w:rsid w:val="00AF26F3"/>
    <w:rsid w:val="00AF5F04"/>
    <w:rsid w:val="00AF68A0"/>
    <w:rsid w:val="00B00672"/>
    <w:rsid w:val="00B01B4D"/>
    <w:rsid w:val="00B03CCE"/>
    <w:rsid w:val="00B03E5F"/>
    <w:rsid w:val="00B06571"/>
    <w:rsid w:val="00B068BA"/>
    <w:rsid w:val="00B1261D"/>
    <w:rsid w:val="00B13851"/>
    <w:rsid w:val="00B13B1C"/>
    <w:rsid w:val="00B22291"/>
    <w:rsid w:val="00B228B3"/>
    <w:rsid w:val="00B23F9A"/>
    <w:rsid w:val="00B2417B"/>
    <w:rsid w:val="00B24E6F"/>
    <w:rsid w:val="00B26CB5"/>
    <w:rsid w:val="00B2752E"/>
    <w:rsid w:val="00B307CC"/>
    <w:rsid w:val="00B326B7"/>
    <w:rsid w:val="00B33EC3"/>
    <w:rsid w:val="00B42E1F"/>
    <w:rsid w:val="00B431E8"/>
    <w:rsid w:val="00B45141"/>
    <w:rsid w:val="00B5273A"/>
    <w:rsid w:val="00B53CC7"/>
    <w:rsid w:val="00B54264"/>
    <w:rsid w:val="00B57329"/>
    <w:rsid w:val="00B578D1"/>
    <w:rsid w:val="00B60E61"/>
    <w:rsid w:val="00B62B50"/>
    <w:rsid w:val="00B635B7"/>
    <w:rsid w:val="00B63AE8"/>
    <w:rsid w:val="00B63FA8"/>
    <w:rsid w:val="00B65950"/>
    <w:rsid w:val="00B66D83"/>
    <w:rsid w:val="00B672C0"/>
    <w:rsid w:val="00B75646"/>
    <w:rsid w:val="00B80BB1"/>
    <w:rsid w:val="00B90729"/>
    <w:rsid w:val="00B907DA"/>
    <w:rsid w:val="00B91DC3"/>
    <w:rsid w:val="00B950BC"/>
    <w:rsid w:val="00B9714C"/>
    <w:rsid w:val="00BA29AD"/>
    <w:rsid w:val="00BA3F8D"/>
    <w:rsid w:val="00BA4293"/>
    <w:rsid w:val="00BB3CB4"/>
    <w:rsid w:val="00BB7A10"/>
    <w:rsid w:val="00BC3BDC"/>
    <w:rsid w:val="00BC7468"/>
    <w:rsid w:val="00BC7D4F"/>
    <w:rsid w:val="00BC7ED7"/>
    <w:rsid w:val="00BD1980"/>
    <w:rsid w:val="00BD2850"/>
    <w:rsid w:val="00BE069C"/>
    <w:rsid w:val="00BE28D2"/>
    <w:rsid w:val="00BE31BF"/>
    <w:rsid w:val="00BE3F2D"/>
    <w:rsid w:val="00BE4A64"/>
    <w:rsid w:val="00BF557D"/>
    <w:rsid w:val="00BF6D64"/>
    <w:rsid w:val="00BF7F58"/>
    <w:rsid w:val="00C01381"/>
    <w:rsid w:val="00C01477"/>
    <w:rsid w:val="00C01AB1"/>
    <w:rsid w:val="00C079B8"/>
    <w:rsid w:val="00C10037"/>
    <w:rsid w:val="00C106A5"/>
    <w:rsid w:val="00C123EA"/>
    <w:rsid w:val="00C12A49"/>
    <w:rsid w:val="00C133EE"/>
    <w:rsid w:val="00C149D0"/>
    <w:rsid w:val="00C25C68"/>
    <w:rsid w:val="00C26588"/>
    <w:rsid w:val="00C27DE9"/>
    <w:rsid w:val="00C31EB9"/>
    <w:rsid w:val="00C33388"/>
    <w:rsid w:val="00C35484"/>
    <w:rsid w:val="00C4173A"/>
    <w:rsid w:val="00C43267"/>
    <w:rsid w:val="00C52FA5"/>
    <w:rsid w:val="00C602FF"/>
    <w:rsid w:val="00C61174"/>
    <w:rsid w:val="00C6148F"/>
    <w:rsid w:val="00C62F7A"/>
    <w:rsid w:val="00C63B9C"/>
    <w:rsid w:val="00C6682F"/>
    <w:rsid w:val="00C67843"/>
    <w:rsid w:val="00C700B2"/>
    <w:rsid w:val="00C71A3F"/>
    <w:rsid w:val="00C7275E"/>
    <w:rsid w:val="00C74C5D"/>
    <w:rsid w:val="00C809C0"/>
    <w:rsid w:val="00C82845"/>
    <w:rsid w:val="00C85DFF"/>
    <w:rsid w:val="00C863C4"/>
    <w:rsid w:val="00C920EA"/>
    <w:rsid w:val="00C93C3E"/>
    <w:rsid w:val="00C9477C"/>
    <w:rsid w:val="00CA12E3"/>
    <w:rsid w:val="00CA241A"/>
    <w:rsid w:val="00CA6611"/>
    <w:rsid w:val="00CA6AE6"/>
    <w:rsid w:val="00CA782F"/>
    <w:rsid w:val="00CB2079"/>
    <w:rsid w:val="00CB3285"/>
    <w:rsid w:val="00CC0C72"/>
    <w:rsid w:val="00CC2BFD"/>
    <w:rsid w:val="00CC52DA"/>
    <w:rsid w:val="00CD2F80"/>
    <w:rsid w:val="00CD3476"/>
    <w:rsid w:val="00CD64DF"/>
    <w:rsid w:val="00CF2F50"/>
    <w:rsid w:val="00CF6198"/>
    <w:rsid w:val="00CF6BFF"/>
    <w:rsid w:val="00CF7B48"/>
    <w:rsid w:val="00D02919"/>
    <w:rsid w:val="00D04C61"/>
    <w:rsid w:val="00D05B8D"/>
    <w:rsid w:val="00D065A2"/>
    <w:rsid w:val="00D07F00"/>
    <w:rsid w:val="00D126F2"/>
    <w:rsid w:val="00D178D6"/>
    <w:rsid w:val="00D17B72"/>
    <w:rsid w:val="00D2022E"/>
    <w:rsid w:val="00D3185C"/>
    <w:rsid w:val="00D3318E"/>
    <w:rsid w:val="00D33E72"/>
    <w:rsid w:val="00D34079"/>
    <w:rsid w:val="00D34D13"/>
    <w:rsid w:val="00D35BD6"/>
    <w:rsid w:val="00D361B5"/>
    <w:rsid w:val="00D411A2"/>
    <w:rsid w:val="00D4606D"/>
    <w:rsid w:val="00D50B9C"/>
    <w:rsid w:val="00D52D73"/>
    <w:rsid w:val="00D52E58"/>
    <w:rsid w:val="00D538F3"/>
    <w:rsid w:val="00D56B20"/>
    <w:rsid w:val="00D714CC"/>
    <w:rsid w:val="00D75EA7"/>
    <w:rsid w:val="00D81F21"/>
    <w:rsid w:val="00D87888"/>
    <w:rsid w:val="00D95470"/>
    <w:rsid w:val="00DA2619"/>
    <w:rsid w:val="00DA4239"/>
    <w:rsid w:val="00DA5C02"/>
    <w:rsid w:val="00DB0B61"/>
    <w:rsid w:val="00DB52FB"/>
    <w:rsid w:val="00DC090B"/>
    <w:rsid w:val="00DC1679"/>
    <w:rsid w:val="00DC2CF1"/>
    <w:rsid w:val="00DC4D72"/>
    <w:rsid w:val="00DC4FCF"/>
    <w:rsid w:val="00DC50E0"/>
    <w:rsid w:val="00DC6386"/>
    <w:rsid w:val="00DD1130"/>
    <w:rsid w:val="00DD1951"/>
    <w:rsid w:val="00DD4BFF"/>
    <w:rsid w:val="00DD6628"/>
    <w:rsid w:val="00DD6945"/>
    <w:rsid w:val="00DD7432"/>
    <w:rsid w:val="00DE3250"/>
    <w:rsid w:val="00DE6028"/>
    <w:rsid w:val="00DE78A3"/>
    <w:rsid w:val="00DF1A71"/>
    <w:rsid w:val="00DF436C"/>
    <w:rsid w:val="00DF5AED"/>
    <w:rsid w:val="00DF68C7"/>
    <w:rsid w:val="00DF731A"/>
    <w:rsid w:val="00E11332"/>
    <w:rsid w:val="00E11352"/>
    <w:rsid w:val="00E163F4"/>
    <w:rsid w:val="00E16BD8"/>
    <w:rsid w:val="00E170DC"/>
    <w:rsid w:val="00E2653F"/>
    <w:rsid w:val="00E26818"/>
    <w:rsid w:val="00E27FFC"/>
    <w:rsid w:val="00E30B15"/>
    <w:rsid w:val="00E40181"/>
    <w:rsid w:val="00E40E4F"/>
    <w:rsid w:val="00E4300F"/>
    <w:rsid w:val="00E440AF"/>
    <w:rsid w:val="00E56A01"/>
    <w:rsid w:val="00E61A06"/>
    <w:rsid w:val="00E629A1"/>
    <w:rsid w:val="00E6794C"/>
    <w:rsid w:val="00E71591"/>
    <w:rsid w:val="00E73AF4"/>
    <w:rsid w:val="00E80DE3"/>
    <w:rsid w:val="00E820A7"/>
    <w:rsid w:val="00E82C55"/>
    <w:rsid w:val="00E92AC3"/>
    <w:rsid w:val="00EA0C06"/>
    <w:rsid w:val="00EB00E0"/>
    <w:rsid w:val="00EC037F"/>
    <w:rsid w:val="00EC059F"/>
    <w:rsid w:val="00EC1F24"/>
    <w:rsid w:val="00EC22F6"/>
    <w:rsid w:val="00EC413A"/>
    <w:rsid w:val="00EC4CA8"/>
    <w:rsid w:val="00ED5B9B"/>
    <w:rsid w:val="00ED6BAD"/>
    <w:rsid w:val="00ED7447"/>
    <w:rsid w:val="00EE1488"/>
    <w:rsid w:val="00EE3E24"/>
    <w:rsid w:val="00EE4D5D"/>
    <w:rsid w:val="00EE5131"/>
    <w:rsid w:val="00EE5DB4"/>
    <w:rsid w:val="00EF109B"/>
    <w:rsid w:val="00EF36AF"/>
    <w:rsid w:val="00EF4007"/>
    <w:rsid w:val="00EF7EAB"/>
    <w:rsid w:val="00F00F9C"/>
    <w:rsid w:val="00F01E5F"/>
    <w:rsid w:val="00F02ABA"/>
    <w:rsid w:val="00F0356D"/>
    <w:rsid w:val="00F0437A"/>
    <w:rsid w:val="00F079C8"/>
    <w:rsid w:val="00F11037"/>
    <w:rsid w:val="00F16F1B"/>
    <w:rsid w:val="00F250A9"/>
    <w:rsid w:val="00F30FF4"/>
    <w:rsid w:val="00F3122E"/>
    <w:rsid w:val="00F31872"/>
    <w:rsid w:val="00F321F3"/>
    <w:rsid w:val="00F331AD"/>
    <w:rsid w:val="00F35287"/>
    <w:rsid w:val="00F43A37"/>
    <w:rsid w:val="00F43A99"/>
    <w:rsid w:val="00F444B2"/>
    <w:rsid w:val="00F44CB0"/>
    <w:rsid w:val="00F4641B"/>
    <w:rsid w:val="00F46EB8"/>
    <w:rsid w:val="00F50CD1"/>
    <w:rsid w:val="00F511E4"/>
    <w:rsid w:val="00F52D09"/>
    <w:rsid w:val="00F52E08"/>
    <w:rsid w:val="00F55B21"/>
    <w:rsid w:val="00F55EF6"/>
    <w:rsid w:val="00F56EF6"/>
    <w:rsid w:val="00F57A5C"/>
    <w:rsid w:val="00F61A9F"/>
    <w:rsid w:val="00F64696"/>
    <w:rsid w:val="00F65AA9"/>
    <w:rsid w:val="00F6768F"/>
    <w:rsid w:val="00F72C2C"/>
    <w:rsid w:val="00F76CAB"/>
    <w:rsid w:val="00F772C6"/>
    <w:rsid w:val="00F815B5"/>
    <w:rsid w:val="00F85195"/>
    <w:rsid w:val="00F8747C"/>
    <w:rsid w:val="00F938BA"/>
    <w:rsid w:val="00F97C73"/>
    <w:rsid w:val="00FA1C1D"/>
    <w:rsid w:val="00FA2C46"/>
    <w:rsid w:val="00FA3525"/>
    <w:rsid w:val="00FA5A53"/>
    <w:rsid w:val="00FB1445"/>
    <w:rsid w:val="00FB4769"/>
    <w:rsid w:val="00FB4CDA"/>
    <w:rsid w:val="00FC0F81"/>
    <w:rsid w:val="00FC395C"/>
    <w:rsid w:val="00FC439F"/>
    <w:rsid w:val="00FD2BAD"/>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B9BCAF8"/>
  <w15:docId w15:val="{6369115F-2DF3-4E82-8BDF-05469064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3CCE"/>
    <w:rPr>
      <w:rFonts w:ascii="Cambria" w:hAnsi="Cambria"/>
      <w:lang w:eastAsia="en-US"/>
    </w:rPr>
  </w:style>
  <w:style w:type="paragraph" w:styleId="Heading1">
    <w:name w:val="heading 1"/>
    <w:basedOn w:val="Normal"/>
    <w:next w:val="ESVBody"/>
    <w:link w:val="Heading1Char"/>
    <w:uiPriority w:val="1"/>
    <w:qFormat/>
    <w:rsid w:val="00E73AF4"/>
    <w:pPr>
      <w:spacing w:after="120" w:line="560" w:lineRule="atLeast"/>
      <w:outlineLvl w:val="0"/>
    </w:pPr>
    <w:rPr>
      <w:rFonts w:ascii="Arial" w:hAnsi="Arial"/>
      <w:color w:val="FFFFFF"/>
      <w:sz w:val="50"/>
      <w:szCs w:val="50"/>
    </w:rPr>
  </w:style>
  <w:style w:type="paragraph" w:styleId="Heading2">
    <w:name w:val="heading 2"/>
    <w:next w:val="ESVBody"/>
    <w:link w:val="Heading2Char"/>
    <w:uiPriority w:val="1"/>
    <w:qFormat/>
    <w:rsid w:val="00087D84"/>
    <w:pPr>
      <w:keepNext/>
      <w:keepLines/>
      <w:spacing w:before="320" w:after="80"/>
      <w:outlineLvl w:val="1"/>
    </w:pPr>
    <w:rPr>
      <w:rFonts w:ascii="Arial" w:hAnsi="Arial"/>
      <w:b/>
      <w:color w:val="F26924" w:themeColor="accent2"/>
      <w:sz w:val="32"/>
      <w:szCs w:val="28"/>
      <w:lang w:eastAsia="en-US"/>
    </w:rPr>
  </w:style>
  <w:style w:type="paragraph" w:styleId="Heading3">
    <w:name w:val="heading 3"/>
    <w:next w:val="ESVBody"/>
    <w:link w:val="Heading3Char"/>
    <w:autoRedefine/>
    <w:uiPriority w:val="1"/>
    <w:qFormat/>
    <w:rsid w:val="00326924"/>
    <w:pPr>
      <w:keepNext/>
      <w:keepLines/>
      <w:spacing w:before="320" w:after="80"/>
      <w:outlineLvl w:val="2"/>
    </w:pPr>
    <w:rPr>
      <w:rFonts w:ascii="Arial" w:eastAsia="MS Gothic" w:hAnsi="Arial"/>
      <w:b/>
      <w:bCs/>
      <w:color w:val="00007F"/>
      <w:sz w:val="24"/>
      <w:szCs w:val="26"/>
      <w:lang w:eastAsia="en-US"/>
    </w:rPr>
  </w:style>
  <w:style w:type="paragraph" w:styleId="Heading4">
    <w:name w:val="heading 4"/>
    <w:next w:val="ESVBody"/>
    <w:link w:val="Heading4Char"/>
    <w:uiPriority w:val="1"/>
    <w:qFormat/>
    <w:rsid w:val="00034095"/>
    <w:pPr>
      <w:keepNext/>
      <w:keepLines/>
      <w:spacing w:before="320" w:after="80"/>
      <w:outlineLvl w:val="3"/>
    </w:pPr>
    <w:rPr>
      <w:rFonts w:ascii="Arial" w:eastAsia="MS Mincho" w:hAnsi="Arial"/>
      <w:bCs/>
      <w:color w:val="00007F"/>
      <w:sz w:val="24"/>
      <w:lang w:eastAsia="en-US"/>
    </w:rPr>
  </w:style>
  <w:style w:type="paragraph" w:styleId="Heading5">
    <w:name w:val="heading 5"/>
    <w:next w:val="ESVBody"/>
    <w:link w:val="Heading5Char"/>
    <w:uiPriority w:val="9"/>
    <w:qFormat/>
    <w:rsid w:val="00B91DC3"/>
    <w:pPr>
      <w:keepNext/>
      <w:keepLines/>
      <w:spacing w:before="320" w:after="80"/>
      <w:outlineLvl w:val="4"/>
    </w:pPr>
    <w:rPr>
      <w:rFonts w:ascii="Arial" w:eastAsia="Times" w:hAnsi="Arial"/>
      <w:b/>
      <w:color w:val="53565A" w:themeColor="text1"/>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VBody">
    <w:name w:val="ESV Body"/>
    <w:qFormat/>
    <w:rsid w:val="006069F3"/>
    <w:pPr>
      <w:spacing w:after="120" w:line="270" w:lineRule="atLeast"/>
    </w:pPr>
    <w:rPr>
      <w:rFonts w:ascii="Arial" w:eastAsia="Times" w:hAnsi="Arial"/>
      <w:color w:val="53565A" w:themeColor="text1"/>
      <w:lang w:eastAsia="en-US"/>
    </w:rPr>
  </w:style>
  <w:style w:type="character" w:customStyle="1" w:styleId="Heading1Char">
    <w:name w:val="Heading 1 Char"/>
    <w:link w:val="Heading1"/>
    <w:uiPriority w:val="1"/>
    <w:rsid w:val="00D34D13"/>
    <w:rPr>
      <w:rFonts w:ascii="Arial" w:hAnsi="Arial"/>
      <w:color w:val="FFFFFF"/>
      <w:sz w:val="50"/>
      <w:szCs w:val="50"/>
      <w:lang w:eastAsia="en-US"/>
    </w:rPr>
  </w:style>
  <w:style w:type="character" w:customStyle="1" w:styleId="Heading2Char">
    <w:name w:val="Heading 2 Char"/>
    <w:link w:val="Heading2"/>
    <w:uiPriority w:val="1"/>
    <w:rsid w:val="00087D84"/>
    <w:rPr>
      <w:rFonts w:ascii="Arial" w:hAnsi="Arial"/>
      <w:b/>
      <w:color w:val="F26924" w:themeColor="accent2"/>
      <w:sz w:val="32"/>
      <w:szCs w:val="28"/>
      <w:lang w:eastAsia="en-US"/>
    </w:rPr>
  </w:style>
  <w:style w:type="character" w:customStyle="1" w:styleId="Heading3Char">
    <w:name w:val="Heading 3 Char"/>
    <w:link w:val="Heading3"/>
    <w:uiPriority w:val="1"/>
    <w:rsid w:val="00326924"/>
    <w:rPr>
      <w:rFonts w:ascii="Arial" w:eastAsia="MS Gothic" w:hAnsi="Arial"/>
      <w:b/>
      <w:bCs/>
      <w:color w:val="00007F"/>
      <w:sz w:val="24"/>
      <w:szCs w:val="26"/>
      <w:lang w:eastAsia="en-US"/>
    </w:rPr>
  </w:style>
  <w:style w:type="character" w:customStyle="1" w:styleId="Heading4Char">
    <w:name w:val="Heading 4 Char"/>
    <w:link w:val="Heading4"/>
    <w:uiPriority w:val="1"/>
    <w:rsid w:val="00034095"/>
    <w:rPr>
      <w:rFonts w:ascii="Arial" w:eastAsia="MS Mincho" w:hAnsi="Arial"/>
      <w:bCs/>
      <w:color w:val="00007F"/>
      <w:sz w:val="24"/>
      <w:lang w:eastAsia="en-US"/>
    </w:rPr>
  </w:style>
  <w:style w:type="paragraph" w:styleId="Header">
    <w:name w:val="header"/>
    <w:basedOn w:val="ESVHeader"/>
    <w:uiPriority w:val="10"/>
    <w:rsid w:val="00262802"/>
  </w:style>
  <w:style w:type="paragraph" w:styleId="Footer">
    <w:name w:val="footer"/>
    <w:basedOn w:val="ESVFooter"/>
    <w:uiPriority w:val="8"/>
    <w:semiHidden/>
    <w:rsid w:val="00C27DE9"/>
  </w:style>
  <w:style w:type="character" w:styleId="FollowedHyperlink">
    <w:name w:val="FollowedHyperlink"/>
    <w:uiPriority w:val="99"/>
    <w:rsid w:val="003A28DB"/>
    <w:rPr>
      <w:color w:val="53565A" w:themeColor="text1"/>
      <w:u w:val="dotted"/>
    </w:rPr>
  </w:style>
  <w:style w:type="paragraph" w:customStyle="1" w:styleId="ESVTablebody6pt">
    <w:name w:val="ESV Table body + 6pt"/>
    <w:basedOn w:val="ESVTablebody"/>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VBodynospace">
    <w:name w:val="ESV Body no space"/>
    <w:basedOn w:val="ESVBody"/>
    <w:uiPriority w:val="1"/>
    <w:rsid w:val="00F772C6"/>
    <w:pPr>
      <w:spacing w:after="0"/>
    </w:pPr>
  </w:style>
  <w:style w:type="paragraph" w:customStyle="1" w:styleId="ESVBulletlevel1">
    <w:name w:val="ESV Bullet level 1"/>
    <w:basedOn w:val="ESVBody"/>
    <w:qFormat/>
    <w:rsid w:val="00C71A3F"/>
    <w:pPr>
      <w:numPr>
        <w:numId w:val="7"/>
      </w:numPr>
      <w:contextualSpacing/>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rsid w:val="00B91DC3"/>
    <w:rPr>
      <w:rFonts w:ascii="Arial" w:eastAsia="Times" w:hAnsi="Arial"/>
      <w:b/>
      <w:color w:val="53565A" w:themeColor="text1"/>
      <w:sz w:val="21"/>
      <w:szCs w:val="21"/>
      <w:lang w:eastAsia="en-US"/>
    </w:rPr>
  </w:style>
  <w:style w:type="character" w:styleId="Strong">
    <w:name w:val="Strong"/>
    <w:uiPriority w:val="22"/>
    <w:qFormat/>
    <w:rsid w:val="00FA3525"/>
    <w:rPr>
      <w:b/>
      <w:bC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ESV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ESVTablebody">
    <w:name w:val="ESV Table body"/>
    <w:uiPriority w:val="3"/>
    <w:qFormat/>
    <w:rsid w:val="00B91DC3"/>
    <w:pPr>
      <w:spacing w:before="80" w:after="60"/>
    </w:pPr>
    <w:rPr>
      <w:rFonts w:ascii="Arial" w:hAnsi="Arial"/>
      <w:color w:val="53565A" w:themeColor="text1"/>
      <w:lang w:eastAsia="en-US"/>
    </w:rPr>
  </w:style>
  <w:style w:type="paragraph" w:customStyle="1" w:styleId="ESVTablecaption">
    <w:name w:val="ESV Table caption"/>
    <w:next w:val="ESVBody"/>
    <w:uiPriority w:val="3"/>
    <w:qFormat/>
    <w:rsid w:val="00C71A3F"/>
    <w:pPr>
      <w:keepNext/>
      <w:keepLines/>
      <w:spacing w:before="320" w:after="120"/>
    </w:pPr>
    <w:rPr>
      <w:rFonts w:ascii="Arial" w:hAnsi="Arial"/>
      <w:b/>
      <w:color w:val="53565A" w:themeColor="text1"/>
      <w:lang w:eastAsia="en-US"/>
    </w:rPr>
  </w:style>
  <w:style w:type="character" w:styleId="FootnoteReference">
    <w:name w:val="footnote reference"/>
    <w:uiPriority w:val="8"/>
    <w:rsid w:val="00BC7ED7"/>
    <w:rPr>
      <w:vertAlign w:val="superscript"/>
    </w:rPr>
  </w:style>
  <w:style w:type="paragraph" w:customStyle="1" w:styleId="ESVFigurecaption">
    <w:name w:val="ESV Figure caption"/>
    <w:next w:val="ESVBody"/>
    <w:rsid w:val="006069F3"/>
    <w:pPr>
      <w:keepNext/>
      <w:keepLines/>
      <w:spacing w:before="320" w:after="120"/>
    </w:pPr>
    <w:rPr>
      <w:rFonts w:ascii="Arial" w:hAnsi="Arial"/>
      <w:b/>
      <w:color w:val="1269AB" w:themeColor="accent1"/>
      <w:lang w:eastAsia="en-US"/>
    </w:rPr>
  </w:style>
  <w:style w:type="paragraph" w:customStyle="1" w:styleId="ESVBulletlevel2">
    <w:name w:val="ESV Bullet level 2"/>
    <w:basedOn w:val="ESVBody"/>
    <w:uiPriority w:val="2"/>
    <w:qFormat/>
    <w:rsid w:val="00C71A3F"/>
    <w:pPr>
      <w:numPr>
        <w:ilvl w:val="1"/>
        <w:numId w:val="7"/>
      </w:numPr>
      <w:ind w:left="568" w:hanging="284"/>
      <w:contextualSpacing/>
    </w:pPr>
  </w:style>
  <w:style w:type="paragraph" w:customStyle="1" w:styleId="ESVTablebullet2">
    <w:name w:val="ESV Table bullet 2"/>
    <w:basedOn w:val="ESVTablebody"/>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ESVTablebullet1">
    <w:name w:val="ESV Table bullet 1"/>
    <w:basedOn w:val="ESVTablebody"/>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ESVTablecolrowhead">
    <w:name w:val="ESV Table col/row head"/>
    <w:uiPriority w:val="3"/>
    <w:qFormat/>
    <w:rsid w:val="00626420"/>
    <w:pPr>
      <w:spacing w:before="80" w:after="60"/>
    </w:pPr>
    <w:rPr>
      <w:rFonts w:ascii="Arial" w:hAnsi="Arial"/>
      <w:b/>
      <w:color w:val="FFFFFF" w:themeColor="background1"/>
      <w:lang w:eastAsia="en-US"/>
    </w:rPr>
  </w:style>
  <w:style w:type="character" w:styleId="Hyperlink">
    <w:name w:val="Hyperlink"/>
    <w:uiPriority w:val="99"/>
    <w:rsid w:val="0036751E"/>
    <w:rPr>
      <w:color w:val="1269AB" w:themeColor="accent1"/>
      <w:u w:val="single"/>
    </w:rPr>
  </w:style>
  <w:style w:type="paragraph" w:customStyle="1" w:styleId="ESVMainsubheading">
    <w:name w:val="ESV Main subheading"/>
    <w:uiPriority w:val="8"/>
    <w:rsid w:val="001D7568"/>
    <w:rPr>
      <w:rFonts w:ascii="Arial" w:hAnsi="Arial"/>
      <w:b/>
      <w:color w:val="FFFFFF"/>
      <w:sz w:val="28"/>
      <w:szCs w:val="24"/>
      <w:lang w:eastAsia="en-US"/>
    </w:rPr>
  </w:style>
  <w:style w:type="paragraph" w:styleId="FootnoteText">
    <w:name w:val="footnote text"/>
    <w:basedOn w:val="Normal"/>
    <w:link w:val="FootnoteTextChar"/>
    <w:uiPriority w:val="8"/>
    <w:rsid w:val="00B91DC3"/>
    <w:pPr>
      <w:spacing w:before="60" w:after="60" w:line="200" w:lineRule="atLeast"/>
    </w:pPr>
    <w:rPr>
      <w:rFonts w:ascii="Arial" w:eastAsia="MS Gothic" w:hAnsi="Arial" w:cs="Arial"/>
      <w:color w:val="53565A" w:themeColor="text1"/>
      <w:sz w:val="16"/>
      <w:szCs w:val="16"/>
    </w:rPr>
  </w:style>
  <w:style w:type="character" w:customStyle="1" w:styleId="FootnoteTextChar">
    <w:name w:val="Footnote Text Char"/>
    <w:link w:val="FootnoteText"/>
    <w:uiPriority w:val="8"/>
    <w:rsid w:val="00B91DC3"/>
    <w:rPr>
      <w:rFonts w:ascii="Arial" w:eastAsia="MS Gothic" w:hAnsi="Arial" w:cs="Arial"/>
      <w:color w:val="53565A" w:themeColor="text1"/>
      <w:sz w:val="16"/>
      <w:szCs w:val="16"/>
      <w:lang w:eastAsia="en-US"/>
    </w:rPr>
  </w:style>
  <w:style w:type="paragraph" w:customStyle="1" w:styleId="Spacerparatopoffirstpage">
    <w:name w:val="Spacer para top of first page"/>
    <w:basedOn w:val="ESV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
    <w:name w:val="ZZ Numbers"/>
    <w:rsid w:val="00F079C8"/>
    <w:pPr>
      <w:numPr>
        <w:numId w:val="2"/>
      </w:numPr>
    </w:pPr>
  </w:style>
  <w:style w:type="paragraph" w:customStyle="1" w:styleId="ESVNumber">
    <w:name w:val="ESV Number"/>
    <w:basedOn w:val="ESVBody"/>
    <w:uiPriority w:val="2"/>
    <w:rsid w:val="00F079C8"/>
    <w:pPr>
      <w:numPr>
        <w:numId w:val="2"/>
      </w:numPr>
      <w:contextualSpacing/>
    </w:pPr>
  </w:style>
  <w:style w:type="paragraph" w:customStyle="1" w:styleId="ESVQuote">
    <w:name w:val="ESV Quote"/>
    <w:basedOn w:val="ESVBody"/>
    <w:uiPriority w:val="4"/>
    <w:rsid w:val="00E40E4F"/>
    <w:pPr>
      <w:ind w:left="397"/>
    </w:pPr>
    <w:rPr>
      <w:color w:val="1269AB" w:themeColor="accent1"/>
      <w:szCs w:val="18"/>
    </w:rPr>
  </w:style>
  <w:style w:type="paragraph" w:customStyle="1" w:styleId="ESVTablefigurenote">
    <w:name w:val="ESV Table/figure note"/>
    <w:uiPriority w:val="4"/>
    <w:rsid w:val="00B91DC3"/>
    <w:pPr>
      <w:spacing w:before="60" w:after="60" w:line="240" w:lineRule="exact"/>
    </w:pPr>
    <w:rPr>
      <w:rFonts w:ascii="Arial" w:hAnsi="Arial"/>
      <w:color w:val="53565A" w:themeColor="text1"/>
      <w:sz w:val="18"/>
      <w:lang w:eastAsia="en-US"/>
    </w:rPr>
  </w:style>
  <w:style w:type="paragraph" w:customStyle="1" w:styleId="ESVBodyaftertablefigure">
    <w:name w:val="ESV Body after table/figure"/>
    <w:basedOn w:val="ESVBody"/>
    <w:next w:val="ESVBody"/>
    <w:uiPriority w:val="1"/>
    <w:rsid w:val="00951D50"/>
    <w:pPr>
      <w:spacing w:before="240"/>
    </w:pPr>
  </w:style>
  <w:style w:type="paragraph" w:customStyle="1" w:styleId="ESVFooter">
    <w:name w:val="ESV Footer"/>
    <w:uiPriority w:val="11"/>
    <w:rsid w:val="00422FAF"/>
    <w:pPr>
      <w:tabs>
        <w:tab w:val="right" w:pos="9639"/>
      </w:tabs>
    </w:pPr>
    <w:rPr>
      <w:rFonts w:ascii="Arial" w:hAnsi="Arial" w:cs="Arial"/>
      <w:sz w:val="18"/>
      <w:szCs w:val="18"/>
      <w:lang w:eastAsia="en-US"/>
    </w:rPr>
  </w:style>
  <w:style w:type="paragraph" w:customStyle="1" w:styleId="ESVHeader">
    <w:name w:val="ESV Header"/>
    <w:basedOn w:val="ESVFooter"/>
    <w:uiPriority w:val="11"/>
    <w:rsid w:val="0051568D"/>
  </w:style>
  <w:style w:type="paragraph" w:customStyle="1" w:styleId="ESVTablebodybold">
    <w:name w:val="ESV Table body bold"/>
    <w:basedOn w:val="ESVTablebody"/>
    <w:uiPriority w:val="11"/>
    <w:rsid w:val="00DC4D72"/>
    <w:rPr>
      <w:b/>
    </w:rPr>
  </w:style>
  <w:style w:type="character" w:styleId="CommentReference">
    <w:name w:val="annotation reference"/>
    <w:basedOn w:val="DefaultParagraphFont"/>
    <w:uiPriority w:val="99"/>
    <w:semiHidden/>
    <w:unhideWhenUsed/>
    <w:rsid w:val="00560B00"/>
    <w:rPr>
      <w:sz w:val="16"/>
      <w:szCs w:val="16"/>
    </w:rPr>
  </w:style>
  <w:style w:type="paragraph" w:styleId="CommentText">
    <w:name w:val="annotation text"/>
    <w:basedOn w:val="Normal"/>
    <w:link w:val="CommentTextChar"/>
    <w:uiPriority w:val="99"/>
    <w:semiHidden/>
    <w:unhideWhenUsed/>
    <w:rsid w:val="00560B00"/>
  </w:style>
  <w:style w:type="character" w:customStyle="1" w:styleId="CommentTextChar">
    <w:name w:val="Comment Text Char"/>
    <w:basedOn w:val="DefaultParagraphFont"/>
    <w:link w:val="CommentText"/>
    <w:uiPriority w:val="99"/>
    <w:semiHidden/>
    <w:rsid w:val="00560B0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60B00"/>
    <w:rPr>
      <w:b/>
      <w:bCs/>
    </w:rPr>
  </w:style>
  <w:style w:type="character" w:customStyle="1" w:styleId="CommentSubjectChar">
    <w:name w:val="Comment Subject Char"/>
    <w:basedOn w:val="CommentTextChar"/>
    <w:link w:val="CommentSubject"/>
    <w:uiPriority w:val="99"/>
    <w:semiHidden/>
    <w:rsid w:val="00560B00"/>
    <w:rPr>
      <w:rFonts w:ascii="Cambria" w:hAnsi="Cambria"/>
      <w:b/>
      <w:bCs/>
      <w:lang w:eastAsia="en-US"/>
    </w:rPr>
  </w:style>
  <w:style w:type="paragraph" w:styleId="Revision">
    <w:name w:val="Revision"/>
    <w:hidden/>
    <w:uiPriority w:val="71"/>
    <w:rsid w:val="00560B00"/>
    <w:rPr>
      <w:rFonts w:ascii="Cambria" w:hAnsi="Cambria"/>
      <w:lang w:eastAsia="en-US"/>
    </w:rPr>
  </w:style>
  <w:style w:type="paragraph" w:styleId="BalloonText">
    <w:name w:val="Balloon Text"/>
    <w:basedOn w:val="Normal"/>
    <w:link w:val="BalloonTextChar"/>
    <w:uiPriority w:val="99"/>
    <w:semiHidden/>
    <w:unhideWhenUsed/>
    <w:rsid w:val="00560B00"/>
    <w:rPr>
      <w:rFonts w:ascii="Tahoma" w:hAnsi="Tahoma" w:cs="Tahoma"/>
      <w:sz w:val="16"/>
      <w:szCs w:val="16"/>
    </w:rPr>
  </w:style>
  <w:style w:type="character" w:customStyle="1" w:styleId="BalloonTextChar">
    <w:name w:val="Balloon Text Char"/>
    <w:basedOn w:val="DefaultParagraphFont"/>
    <w:link w:val="BalloonText"/>
    <w:uiPriority w:val="99"/>
    <w:semiHidden/>
    <w:rsid w:val="00560B00"/>
    <w:rPr>
      <w:rFonts w:ascii="Tahoma" w:hAnsi="Tahoma" w:cs="Tahoma"/>
      <w:sz w:val="16"/>
      <w:szCs w:val="16"/>
      <w:lang w:eastAsia="en-US"/>
    </w:rPr>
  </w:style>
  <w:style w:type="table" w:customStyle="1" w:styleId="ESVTablegrid">
    <w:name w:val="ESV Table grid"/>
    <w:basedOn w:val="TableNormal"/>
    <w:uiPriority w:val="99"/>
    <w:rsid w:val="006657E0"/>
    <w:rPr>
      <w:rFonts w:ascii="Arial" w:hAnsi="Arial"/>
    </w:rPr>
    <w:tblPr>
      <w:tblInd w:w="108" w:type="dxa"/>
      <w:tblBorders>
        <w:top w:val="single" w:sz="4" w:space="0" w:color="B8BBBE" w:themeColor="text1" w:themeTint="66"/>
        <w:left w:val="single" w:sz="4" w:space="0" w:color="B8BBBE" w:themeColor="text1" w:themeTint="66"/>
        <w:bottom w:val="single" w:sz="4" w:space="0" w:color="B8BBBE" w:themeColor="text1" w:themeTint="66"/>
        <w:right w:val="single" w:sz="4" w:space="0" w:color="B8BBBE" w:themeColor="text1" w:themeTint="66"/>
        <w:insideH w:val="single" w:sz="4" w:space="0" w:color="B8BBBE" w:themeColor="text1" w:themeTint="66"/>
        <w:insideV w:val="single" w:sz="4" w:space="0" w:color="B8BBBE" w:themeColor="text1" w:themeTint="66"/>
      </w:tblBorders>
    </w:tblPr>
    <w:tblStylePr w:type="firstRow">
      <w:tblPr/>
      <w:tcPr>
        <w:tcBorders>
          <w:top w:val="single" w:sz="4" w:space="0" w:color="B8BBBE" w:themeColor="text1" w:themeTint="66"/>
          <w:left w:val="single" w:sz="4" w:space="0" w:color="B8BBBE" w:themeColor="text1" w:themeTint="66"/>
          <w:bottom w:val="single" w:sz="4" w:space="0" w:color="B8BBBE" w:themeColor="text1" w:themeTint="66"/>
          <w:right w:val="single" w:sz="4" w:space="0" w:color="B8BBBE" w:themeColor="text1" w:themeTint="66"/>
          <w:insideH w:val="single" w:sz="4" w:space="0" w:color="B8BBBE" w:themeColor="text1" w:themeTint="66"/>
          <w:insideV w:val="single" w:sz="4" w:space="0" w:color="B8BBBE" w:themeColor="text1" w:themeTint="66"/>
        </w:tcBorders>
        <w:shd w:val="clear" w:color="auto" w:fill="1269AB" w:themeFill="accent1"/>
      </w:tcPr>
    </w:tblStylePr>
    <w:tblStylePr w:type="firstCol">
      <w:tblPr/>
      <w:tcPr>
        <w:tcBorders>
          <w:top w:val="single" w:sz="4" w:space="0" w:color="B8BBBE" w:themeColor="text1" w:themeTint="66"/>
          <w:left w:val="single" w:sz="4" w:space="0" w:color="B8BBBE" w:themeColor="text1" w:themeTint="66"/>
          <w:bottom w:val="single" w:sz="4" w:space="0" w:color="B8BBBE" w:themeColor="text1" w:themeTint="66"/>
          <w:right w:val="single" w:sz="4" w:space="0" w:color="B8BBBE" w:themeColor="text1" w:themeTint="66"/>
          <w:insideH w:val="single" w:sz="4" w:space="0" w:color="B8BBBE" w:themeColor="text1" w:themeTint="66"/>
          <w:insideV w:val="single" w:sz="4" w:space="0" w:color="B8BBBE" w:themeColor="text1" w:themeTint="66"/>
        </w:tcBorders>
        <w:shd w:val="clear" w:color="auto" w:fill="53565A"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3864">
      <w:bodyDiv w:val="1"/>
      <w:marLeft w:val="0"/>
      <w:marRight w:val="0"/>
      <w:marTop w:val="0"/>
      <w:marBottom w:val="0"/>
      <w:divBdr>
        <w:top w:val="none" w:sz="0" w:space="0" w:color="auto"/>
        <w:left w:val="none" w:sz="0" w:space="0" w:color="auto"/>
        <w:bottom w:val="none" w:sz="0" w:space="0" w:color="auto"/>
        <w:right w:val="none" w:sz="0" w:space="0" w:color="auto"/>
      </w:divBdr>
    </w:div>
    <w:div w:id="527329501">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118644103">
      <w:bodyDiv w:val="1"/>
      <w:marLeft w:val="0"/>
      <w:marRight w:val="0"/>
      <w:marTop w:val="0"/>
      <w:marBottom w:val="0"/>
      <w:divBdr>
        <w:top w:val="none" w:sz="0" w:space="0" w:color="auto"/>
        <w:left w:val="none" w:sz="0" w:space="0" w:color="auto"/>
        <w:bottom w:val="none" w:sz="0" w:space="0" w:color="auto"/>
        <w:right w:val="none" w:sz="0" w:space="0" w:color="auto"/>
      </w:divBdr>
    </w:div>
    <w:div w:id="11358289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9495534">
      <w:bodyDiv w:val="1"/>
      <w:marLeft w:val="0"/>
      <w:marRight w:val="0"/>
      <w:marTop w:val="0"/>
      <w:marBottom w:val="0"/>
      <w:divBdr>
        <w:top w:val="none" w:sz="0" w:space="0" w:color="auto"/>
        <w:left w:val="none" w:sz="0" w:space="0" w:color="auto"/>
        <w:bottom w:val="none" w:sz="0" w:space="0" w:color="auto"/>
        <w:right w:val="none" w:sz="0" w:space="0" w:color="auto"/>
      </w:divBdr>
    </w:div>
    <w:div w:id="190718653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004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RANKLIN.energysafe.vic.gov.au\OfficeTemplates$\Energy%20Safe%20Victoria\Electricity\Electricity%20Navy%20portrait%20base%20sheet%20A4.dotx" TargetMode="External"/></Relationships>
</file>

<file path=word/theme/theme1.xml><?xml version="1.0" encoding="utf-8"?>
<a:theme xmlns:a="http://schemas.openxmlformats.org/drawingml/2006/main" name="Office Theme">
  <a:themeElements>
    <a:clrScheme name="Energy Safe Victoria">
      <a:dk1>
        <a:srgbClr val="53565A"/>
      </a:dk1>
      <a:lt1>
        <a:sysClr val="window" lastClr="FFFFFF"/>
      </a:lt1>
      <a:dk2>
        <a:srgbClr val="00007F"/>
      </a:dk2>
      <a:lt2>
        <a:srgbClr val="FFFFFF"/>
      </a:lt2>
      <a:accent1>
        <a:srgbClr val="1269AB"/>
      </a:accent1>
      <a:accent2>
        <a:srgbClr val="F26924"/>
      </a:accent2>
      <a:accent3>
        <a:srgbClr val="96CA4F"/>
      </a:accent3>
      <a:accent4>
        <a:srgbClr val="00A3D8"/>
      </a:accent4>
      <a:accent5>
        <a:srgbClr val="D50032"/>
      </a:accent5>
      <a:accent6>
        <a:srgbClr val="65C5B4"/>
      </a:accent6>
      <a:hlink>
        <a:srgbClr val="1269AB"/>
      </a:hlink>
      <a:folHlink>
        <a:srgbClr val="5356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5514-2681-4930-A0FF-EAE67FFE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Electricity Navy portrait base sheet A4</Template>
  <TotalTime>13</TotalTime>
  <Pages>7</Pages>
  <Words>1896</Words>
  <Characters>9836</Characters>
  <Application>Microsoft Office Word</Application>
  <DocSecurity>0</DocSecurity>
  <Lines>339</Lines>
  <Paragraphs>249</Paragraphs>
  <ScaleCrop>false</ScaleCrop>
  <HeadingPairs>
    <vt:vector size="2" baseType="variant">
      <vt:variant>
        <vt:lpstr>Title</vt:lpstr>
      </vt:variant>
      <vt:variant>
        <vt:i4>1</vt:i4>
      </vt:variant>
    </vt:vector>
  </HeadingPairs>
  <TitlesOfParts>
    <vt:vector size="1" baseType="lpstr">
      <vt:lpstr/>
    </vt:vector>
  </TitlesOfParts>
  <Company>Energy Safe Victoria</Company>
  <LinksUpToDate>false</LinksUpToDate>
  <CharactersWithSpaces>11483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Anitra Robertson</dc:creator>
  <cp:lastModifiedBy>Steven O'Donnell</cp:lastModifiedBy>
  <cp:revision>4</cp:revision>
  <cp:lastPrinted>2017-12-01T00:51:00Z</cp:lastPrinted>
  <dcterms:created xsi:type="dcterms:W3CDTF">2023-10-12T22:23:00Z</dcterms:created>
  <dcterms:modified xsi:type="dcterms:W3CDTF">2023-10-12T22:33:00Z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